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深圳市</w:t>
      </w:r>
      <w:r>
        <w:rPr>
          <w:rFonts w:ascii="方正小标宋简体" w:eastAsia="方正小标宋简体"/>
          <w:sz w:val="44"/>
          <w:szCs w:val="44"/>
        </w:rPr>
        <w:t>商务局</w:t>
      </w:r>
      <w:r>
        <w:rPr>
          <w:rFonts w:hint="eastAsia" w:ascii="方正小标宋简体" w:eastAsia="方正小标宋简体"/>
          <w:sz w:val="44"/>
          <w:szCs w:val="44"/>
        </w:rPr>
        <w:t>促进消费提升扶持计划</w:t>
      </w:r>
      <w:r>
        <w:rPr>
          <w:rFonts w:ascii="方正小标宋简体" w:eastAsia="方正小标宋简体"/>
          <w:sz w:val="44"/>
          <w:szCs w:val="44"/>
        </w:rPr>
        <w:t>（纾困政策—批发零售及餐饮企业</w:t>
      </w:r>
    </w:p>
    <w:p>
      <w:pPr>
        <w:spacing w:line="560" w:lineRule="exact"/>
        <w:jc w:val="center"/>
        <w:rPr>
          <w:rFonts w:ascii="方正小标宋简体" w:eastAsia="方正小标宋简体"/>
          <w:sz w:val="44"/>
          <w:szCs w:val="44"/>
        </w:rPr>
      </w:pPr>
      <w:r>
        <w:rPr>
          <w:rFonts w:ascii="方正小标宋简体" w:eastAsia="方正小标宋简体"/>
          <w:sz w:val="44"/>
          <w:szCs w:val="44"/>
        </w:rPr>
        <w:t>稳增长奖励项目）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申报指南</w:t>
      </w:r>
    </w:p>
    <w:bookmarkEnd w:id="0"/>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统筹好疫情防控和经济社会发展，进一步减轻市场主体负担，全力帮助市场主体渡过难关</w:t>
      </w:r>
      <w:r>
        <w:rPr>
          <w:rFonts w:ascii="仿宋_GB2312" w:hAnsi="仿宋_GB2312" w:eastAsia="仿宋_GB2312" w:cs="仿宋_GB2312"/>
          <w:sz w:val="32"/>
          <w:szCs w:val="32"/>
        </w:rPr>
        <w:t>，</w:t>
      </w:r>
      <w:r>
        <w:rPr>
          <w:rFonts w:ascii="仿宋_GB2312" w:hAnsi="仿宋_GB2312" w:eastAsia="仿宋_GB2312" w:cs="仿宋_GB2312"/>
          <w:kern w:val="0"/>
          <w:sz w:val="32"/>
          <w:szCs w:val="32"/>
        </w:rPr>
        <w:t>支持批发零售企业扩大市场、挖潜增效，</w:t>
      </w:r>
      <w:r>
        <w:rPr>
          <w:rFonts w:hint="eastAsia" w:ascii="仿宋_GB2312" w:hAnsi="仿宋_GB2312" w:eastAsia="仿宋_GB2312" w:cs="仿宋_GB2312"/>
          <w:kern w:val="0"/>
          <w:sz w:val="32"/>
          <w:szCs w:val="32"/>
        </w:rPr>
        <w:t>支持</w:t>
      </w:r>
      <w:r>
        <w:rPr>
          <w:rFonts w:ascii="仿宋_GB2312" w:hAnsi="仿宋_GB2312" w:eastAsia="仿宋_GB2312" w:cs="仿宋_GB2312"/>
          <w:kern w:val="0"/>
          <w:sz w:val="32"/>
          <w:szCs w:val="32"/>
        </w:rPr>
        <w:t>餐饮</w:t>
      </w:r>
      <w:r>
        <w:rPr>
          <w:rFonts w:hint="eastAsia" w:ascii="仿宋_GB2312" w:hAnsi="仿宋_GB2312" w:eastAsia="仿宋_GB2312" w:cs="仿宋_GB2312"/>
          <w:kern w:val="0"/>
          <w:sz w:val="32"/>
          <w:szCs w:val="32"/>
        </w:rPr>
        <w:t>企业做特色提规模</w:t>
      </w:r>
      <w:r>
        <w:rPr>
          <w:rFonts w:ascii="仿宋_GB2312" w:hAnsi="仿宋_GB2312" w:eastAsia="仿宋_GB2312" w:cs="仿宋_GB2312"/>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ascii="仿宋_GB2312" w:eastAsia="仿宋_GB2312"/>
          <w:sz w:val="32"/>
          <w:szCs w:val="32"/>
        </w:rPr>
      </w:pPr>
      <w:r>
        <w:rPr>
          <w:rFonts w:ascii="仿宋_GB2312" w:eastAsia="仿宋_GB2312"/>
          <w:sz w:val="32"/>
          <w:szCs w:val="32"/>
        </w:rPr>
        <w:t>《深圳市关于应对新冠肺炎疫情进一步帮助市场主体纾困解难的若干措施》（深府</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号</w:t>
      </w:r>
      <w:r>
        <w:rPr>
          <w:rFonts w:ascii="仿宋_GB2312" w:eastAsia="仿宋_GB2312"/>
          <w:sz w:val="32"/>
          <w:szCs w:val="32"/>
        </w:rPr>
        <w:t>）及相关文件。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《深圳市商务发展专项资金管理办法》（深商务规〔2020〕2号）。</w:t>
      </w:r>
    </w:p>
    <w:p>
      <w:pPr>
        <w:numPr>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ascii="黑体" w:hAnsi="黑体" w:eastAsia="黑体" w:cs="黑体"/>
          <w:sz w:val="32"/>
          <w:szCs w:val="32"/>
        </w:rPr>
        <w:t>申报条件</w:t>
      </w:r>
    </w:p>
    <w:p>
      <w:pPr>
        <w:pStyle w:val="3"/>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szCs w:val="32"/>
        </w:rPr>
        <w:t>（一）基础条件</w:t>
      </w:r>
    </w:p>
    <w:p>
      <w:pPr>
        <w:pStyle w:val="9"/>
        <w:ind w:firstLine="640"/>
        <w:rPr>
          <w:rFonts w:hint="eastAsia" w:cs="仿宋_GB2312"/>
        </w:rPr>
      </w:pPr>
      <w:r>
        <w:rPr>
          <w:rFonts w:cs="仿宋_GB2312"/>
          <w:kern w:val="0"/>
          <w:lang w:bidi="ar"/>
        </w:rPr>
        <w:t>1.</w:t>
      </w:r>
      <w:r>
        <w:rPr>
          <w:rFonts w:hint="eastAsia" w:cs="仿宋_GB2312"/>
          <w:kern w:val="0"/>
          <w:lang w:bidi="ar"/>
        </w:rPr>
        <w:t>申报主体为在深圳市（含深汕特别合作区）依法登记注册的法人企业</w:t>
      </w:r>
      <w:r>
        <w:rPr>
          <w:rFonts w:hint="eastAsia" w:cs="仿宋_GB2312"/>
        </w:rPr>
        <w:t>。</w:t>
      </w:r>
    </w:p>
    <w:p>
      <w:pPr>
        <w:pStyle w:val="9"/>
        <w:ind w:firstLine="640"/>
      </w:pPr>
      <w:r>
        <w:t>2.</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9"/>
        <w:ind w:firstLine="640"/>
      </w:pPr>
      <w:r>
        <w:rPr>
          <w:rFonts w:cs="仿宋_GB2312"/>
        </w:rPr>
        <w:t>3.</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（二）专项条件</w:t>
      </w:r>
    </w:p>
    <w:p>
      <w:pPr>
        <w:pStyle w:val="9"/>
        <w:ind w:firstLine="640" w:firstLineChars="0"/>
        <w:rPr>
          <w:rFonts w:cs="仿宋_GB2312"/>
        </w:rPr>
      </w:pPr>
      <w:r>
        <w:rPr>
          <w:rFonts w:cs="仿宋_GB2312"/>
        </w:rPr>
        <w:t>1.批发零售业稳增长奖励项目：</w:t>
      </w:r>
      <w:r>
        <w:rPr>
          <w:rFonts w:hint="eastAsia" w:cs="仿宋_GB2312"/>
        </w:rPr>
        <w:t>申报主体在“国家统计局统计联网直报平台”中按照《国民经济行业分类》（GB/T 4754—2017）属于“批发业（F51）、零售业（F52）</w:t>
      </w:r>
      <w:r>
        <w:rPr>
          <w:rFonts w:cs="仿宋_GB2312"/>
        </w:rPr>
        <w:t>”。</w:t>
      </w:r>
    </w:p>
    <w:p>
      <w:pPr>
        <w:pStyle w:val="9"/>
        <w:ind w:firstLine="640" w:firstLineChars="0"/>
        <w:rPr>
          <w:rFonts w:cs="仿宋_GB2312"/>
        </w:rPr>
      </w:pPr>
      <w:r>
        <w:rPr>
          <w:rFonts w:cs="仿宋_GB2312"/>
        </w:rPr>
        <w:t>2.餐饮业稳增长奖励项目：</w:t>
      </w:r>
      <w:r>
        <w:rPr>
          <w:rFonts w:hint="eastAsia" w:cs="仿宋_GB2312"/>
        </w:rPr>
        <w:t>申报主体在“国家统计局统计联网直报平台”中按照《国民经济行业分类》（GB/T 4754—2017）属于“餐饮业（H62）”</w:t>
      </w:r>
      <w:r>
        <w:rPr>
          <w:rFonts w:hint="eastAsia" w:hAnsi="微软雅黑" w:cs="宋体"/>
          <w:kern w:val="0"/>
        </w:rPr>
        <w:t>。</w:t>
      </w:r>
    </w:p>
    <w:p>
      <w:pPr>
        <w:tabs>
          <w:tab w:val="center" w:pos="4153"/>
          <w:tab w:val="right" w:pos="8306"/>
        </w:tabs>
        <w:spacing w:line="560" w:lineRule="exact"/>
        <w:ind w:firstLine="645"/>
        <w:rPr>
          <w:rFonts w:hint="eastAsia" w:ascii="楷体_GB2312" w:hAnsi="楷体_GB2312" w:eastAsia="楷体_GB2312" w:cs="楷体_GB2312"/>
        </w:rPr>
      </w:pPr>
      <w:r>
        <w:rPr>
          <w:rFonts w:hint="eastAsia" w:ascii="黑体" w:hAnsi="黑体" w:eastAsia="黑体"/>
          <w:sz w:val="32"/>
          <w:szCs w:val="32"/>
          <w:lang w:val="en-US" w:eastAsia="zh-CN"/>
        </w:rPr>
        <w:t>四</w:t>
      </w:r>
      <w:r>
        <w:rPr>
          <w:rFonts w:hint="eastAsia" w:ascii="黑体" w:hAnsi="黑体" w:eastAsia="黑体"/>
          <w:sz w:val="32"/>
          <w:szCs w:val="32"/>
        </w:rPr>
        <w:t>、支持内容和支持标准</w:t>
      </w:r>
    </w:p>
    <w:p>
      <w:pPr>
        <w:pStyle w:val="9"/>
        <w:ind w:firstLine="640"/>
        <w:rPr>
          <w:rFonts w:hint="eastAsia" w:ascii="楷体_GB2312" w:hAnsi="楷体_GB2312" w:eastAsia="楷体_GB2312" w:cs="楷体_GB2312"/>
        </w:rPr>
      </w:pPr>
      <w:r>
        <w:rPr>
          <w:rFonts w:hint="eastAsia" w:ascii="楷体_GB2312" w:hAnsi="楷体_GB2312" w:eastAsia="楷体_GB2312" w:cs="楷体_GB2312"/>
        </w:rPr>
        <w:t>（一）支持内容</w:t>
      </w:r>
    </w:p>
    <w:p>
      <w:pPr>
        <w:pStyle w:val="9"/>
        <w:ind w:firstLine="640"/>
        <w:rPr>
          <w:rFonts w:cs="仿宋_GB2312"/>
        </w:rPr>
      </w:pPr>
      <w:r>
        <w:rPr>
          <w:rFonts w:cs="仿宋_GB2312"/>
        </w:rPr>
        <w:t>1.批发零售业稳增长奖励项目：支持企业扩大市场、挖潜增效，对零售企业2022年上半年的零售额增长、对批发企业2022年上半年的销售额增长给予奖励。</w:t>
      </w:r>
    </w:p>
    <w:p>
      <w:pPr>
        <w:pStyle w:val="9"/>
        <w:ind w:firstLine="640"/>
        <w:rPr>
          <w:rFonts w:hint="eastAsia" w:cs="仿宋_GB2312"/>
        </w:rPr>
      </w:pPr>
      <w:r>
        <w:rPr>
          <w:rFonts w:cs="仿宋_GB2312"/>
        </w:rPr>
        <w:t>2.餐饮企业稳增长奖励项目：支持企业做特色提规模，对餐饮企业2022年上半年的主营业务收入给予奖励。</w:t>
      </w:r>
    </w:p>
    <w:p>
      <w:pPr>
        <w:pStyle w:val="9"/>
        <w:ind w:firstLine="640"/>
        <w:rPr>
          <w:rFonts w:hint="eastAsia" w:ascii="楷体_GB2312" w:hAnsi="楷体_GB2312" w:eastAsia="楷体_GB2312" w:cs="楷体_GB2312"/>
        </w:rPr>
      </w:pPr>
      <w:r>
        <w:rPr>
          <w:rFonts w:hint="eastAsia" w:ascii="楷体_GB2312" w:hAnsi="楷体_GB2312" w:eastAsia="楷体_GB2312" w:cs="楷体_GB2312"/>
        </w:rPr>
        <w:t>（二）支持标准</w:t>
      </w:r>
    </w:p>
    <w:p>
      <w:pPr>
        <w:pStyle w:val="9"/>
        <w:ind w:firstLine="640"/>
        <w:rPr>
          <w:rFonts w:cs="仿宋_GB2312"/>
        </w:rPr>
      </w:pPr>
      <w:r>
        <w:t>1.</w:t>
      </w:r>
      <w:r>
        <w:rPr>
          <w:rFonts w:cs="仿宋_GB2312"/>
        </w:rPr>
        <w:t>批发零售业稳增长奖励项目：</w:t>
      </w:r>
    </w:p>
    <w:p>
      <w:pPr>
        <w:pStyle w:val="9"/>
        <w:ind w:firstLine="640"/>
        <w:rPr>
          <w:rFonts w:cs="仿宋_GB2312"/>
        </w:rPr>
      </w:pPr>
      <w:r>
        <w:rPr>
          <w:rFonts w:cs="仿宋_GB2312"/>
        </w:rPr>
        <w:t>（1）对零售企业2022年上半年的零售额比2021年同期每增加1亿元奖励50万元，每家企业奖励金额最高不超过500万元。</w:t>
      </w:r>
    </w:p>
    <w:p>
      <w:pPr>
        <w:pStyle w:val="9"/>
        <w:ind w:firstLine="640"/>
        <w:rPr>
          <w:rFonts w:cs="仿宋_GB2312"/>
        </w:rPr>
      </w:pPr>
      <w:r>
        <w:rPr>
          <w:rFonts w:cs="仿宋_GB2312"/>
        </w:rPr>
        <w:t xml:space="preserve">（2）对批发企业2022年上半年的销售额比2021年同期每增加1亿元奖励5万元，每家企业奖励金额不超过500万元。  </w:t>
      </w:r>
    </w:p>
    <w:p>
      <w:pPr>
        <w:pStyle w:val="9"/>
        <w:ind w:firstLine="640"/>
        <w:rPr>
          <w:rFonts w:cs="仿宋_GB2312"/>
        </w:rPr>
      </w:pPr>
      <w:r>
        <w:rPr>
          <w:rFonts w:cs="仿宋_GB2312"/>
        </w:rPr>
        <w:t>2.餐饮业稳增长奖励项目：对餐饮企业2022年上半年的主营业务收入每1000万元奖励5万元，</w:t>
      </w:r>
      <w:r>
        <w:rPr>
          <w:rFonts w:cs="仿宋_GB2312"/>
          <w:color w:val="000000"/>
          <w:kern w:val="0"/>
        </w:rPr>
        <w:t>每家企业最高奖励100万元</w:t>
      </w:r>
      <w:r>
        <w:rPr>
          <w:rFonts w:cs="仿宋_GB2312"/>
        </w:rPr>
        <w:t xml:space="preserve">。  </w:t>
      </w:r>
    </w:p>
    <w:p>
      <w:pPr>
        <w:pStyle w:val="9"/>
        <w:ind w:firstLine="640"/>
        <w:rPr>
          <w:rFonts w:cs="仿宋_GB2312"/>
        </w:rPr>
      </w:pPr>
      <w:r>
        <w:rPr>
          <w:rFonts w:cs="仿宋_GB2312"/>
        </w:rPr>
        <w:t>零售额、销售额、主营业务收入等数据以企业上报至</w:t>
      </w:r>
      <w:r>
        <w:rPr>
          <w:rFonts w:hint="eastAsia" w:cs="仿宋_GB2312"/>
        </w:rPr>
        <w:t>国家统计局统计联网直报平台</w:t>
      </w:r>
      <w:r>
        <w:rPr>
          <w:rFonts w:cs="仿宋_GB2312"/>
        </w:rPr>
        <w:t>的相关数据为准。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1.网络填</w:t>
      </w:r>
      <w:r>
        <w:rPr>
          <w:rFonts w:hint="eastAsia" w:ascii="Times New Roman" w:hAnsi="Times New Roman" w:eastAsia="仿宋_GB2312"/>
          <w:sz w:val="32"/>
          <w:szCs w:val="32"/>
        </w:rPr>
        <w:t>报时间：</w:t>
      </w:r>
      <w:r>
        <w:rPr>
          <w:rFonts w:hint="eastAsia" w:ascii="仿宋_GB2312" w:hAnsi="宋体" w:eastAsia="仿宋_GB2312"/>
          <w:sz w:val="32"/>
          <w:szCs w:val="32"/>
        </w:rPr>
        <w:t>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13</w:t>
      </w:r>
      <w:r>
        <w:rPr>
          <w:rFonts w:hint="eastAsia" w:ascii="仿宋_GB2312" w:hAnsi="宋体" w:eastAsia="仿宋_GB2312"/>
          <w:sz w:val="32"/>
          <w:szCs w:val="32"/>
        </w:rPr>
        <w:t>日17:00。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2.材料提交时间：202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4</w:t>
      </w:r>
      <w:r>
        <w:rPr>
          <w:rFonts w:hint="eastAsia" w:ascii="仿宋_GB2312" w:hAnsi="宋体" w:eastAsia="仿宋_GB2312"/>
          <w:sz w:val="32"/>
          <w:szCs w:val="32"/>
        </w:rPr>
        <w:t>日—202</w:t>
      </w:r>
      <w:r>
        <w:rPr>
          <w:rFonts w:ascii="仿宋_GB2312" w:hAnsi="宋体" w:eastAsia="仿宋_GB2312"/>
          <w:sz w:val="32"/>
          <w:szCs w:val="32"/>
        </w:rPr>
        <w:t>2</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w:t>
      </w:r>
      <w:r>
        <w:rPr>
          <w:rFonts w:ascii="仿宋_GB2312" w:hAnsi="宋体" w:eastAsia="仿宋_GB2312"/>
          <w:sz w:val="32"/>
          <w:szCs w:val="32"/>
        </w:rPr>
        <w:t>15</w:t>
      </w:r>
      <w:r>
        <w:rPr>
          <w:rFonts w:hint="eastAsia" w:ascii="仿宋_GB2312" w:hAnsi="宋体" w:eastAsia="仿宋_GB2312"/>
          <w:sz w:val="32"/>
          <w:szCs w:val="32"/>
        </w:rPr>
        <w:t>日17:00。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申报单位在上述规定时间内在线填报、提交材料，逾期不予受理。（注意事项：网络填报时间截止后系统将不再受理新申请以及修改后再次提交的申请，故请尽量预留充足的修改时间）。</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发布申请指南——申</w:t>
      </w:r>
      <w:r>
        <w:rPr>
          <w:rFonts w:ascii="仿宋_GB2312" w:eastAsia="仿宋_GB2312"/>
          <w:sz w:val="32"/>
          <w:szCs w:val="32"/>
        </w:rPr>
        <w:t>报</w:t>
      </w:r>
      <w:r>
        <w:rPr>
          <w:rFonts w:hint="eastAsia" w:ascii="仿宋_GB2312" w:eastAsia="仿宋_GB2312"/>
          <w:sz w:val="32"/>
          <w:szCs w:val="32"/>
        </w:rPr>
        <w:t>单位网上申报——初审——申请单位向市行政服务大厅收文窗口提交申请材料——形式审查——资质审查——征求相关单位意见（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w:t>
      </w:r>
      <w:r>
        <w:rPr>
          <w:rFonts w:hint="eastAsia" w:ascii="仿宋_GB2312" w:hAnsi="仿宋" w:eastAsia="仿宋_GB2312"/>
          <w:sz w:val="32"/>
          <w:szCs w:val="32"/>
        </w:rPr>
        <w:t>，</w:t>
      </w:r>
      <w:r>
        <w:rPr>
          <w:rFonts w:ascii="仿宋_GB2312" w:eastAsia="仿宋_GB2312"/>
          <w:sz w:val="32"/>
          <w:szCs w:val="32"/>
        </w:rPr>
        <w:t>失信惩戒情况</w:t>
      </w:r>
      <w:r>
        <w:rPr>
          <w:rFonts w:hint="eastAsia" w:ascii="仿宋_GB2312" w:eastAsia="仿宋_GB2312"/>
          <w:sz w:val="32"/>
          <w:szCs w:val="32"/>
        </w:rPr>
        <w:t>，</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）——核定拟奖励计划——社会公示——申请人提交拨付资料——拨付资金。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91"/>
    <w:rsid w:val="00803CAB"/>
    <w:rsid w:val="00B56091"/>
    <w:rsid w:val="0D06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unhideWhenUsed/>
    <w:uiPriority w:val="99"/>
    <w:rPr>
      <w:rFonts w:hAnsi="Courier New" w:cs="Courier New" w:asciiTheme="minorEastAsia" w:eastAsiaTheme="minorEastAsia"/>
    </w:rPr>
  </w:style>
  <w:style w:type="paragraph" w:styleId="3">
    <w:name w:val="Body Text"/>
    <w:basedOn w:val="1"/>
    <w:next w:val="1"/>
    <w:link w:val="8"/>
    <w:uiPriority w:val="0"/>
    <w:rPr>
      <w:rFonts w:eastAsia="文星仿宋"/>
      <w:sz w:val="32"/>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3"/>
    <w:uiPriority w:val="0"/>
    <w:rPr>
      <w:rFonts w:ascii="Calibri" w:hAnsi="Calibri" w:eastAsia="文星仿宋" w:cs="Times New Roman"/>
      <w:sz w:val="32"/>
      <w:szCs w:val="24"/>
    </w:rPr>
  </w:style>
  <w:style w:type="paragraph" w:customStyle="1" w:styleId="9">
    <w:name w:val="文件正文"/>
    <w:basedOn w:val="4"/>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0">
    <w:name w:val="纯文本 字符"/>
    <w:basedOn w:val="7"/>
    <w:link w:val="2"/>
    <w:semiHidden/>
    <w:uiPriority w:val="99"/>
    <w:rPr>
      <w:rFonts w:hAnsi="Courier New" w:cs="Courier New" w:asciiTheme="minorEastAsia"/>
      <w:szCs w:val="24"/>
    </w:rPr>
  </w:style>
  <w:style w:type="character" w:customStyle="1" w:styleId="11">
    <w:name w:val="页脚 字符"/>
    <w:basedOn w:val="7"/>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1817</Words>
  <Characters>2007</Characters>
  <Lines>14</Lines>
  <Paragraphs>4</Paragraphs>
  <TotalTime>3</TotalTime>
  <ScaleCrop>false</ScaleCrop>
  <LinksUpToDate>false</LinksUpToDate>
  <CharactersWithSpaces>2013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2022-04-24T02:24:00Z</dcterms:created>
  <dc:creator>陈 梓标</dc:creator>
  <cp:lastModifiedBy>利威尔</cp:lastModifiedBy>
  <dcterms:modified xsi:type="dcterms:W3CDTF">2022-04-24T10:00:05Z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eyJoZGlkIjoiYzhjOTg1YTM1NDNjZTllMjg3ZThiYjM3ZjVmNjg5ZTgifQ==</vt:lpwstr>
  </property>
  <property fmtid="{D5CDD505-2E9C-101B-9397-08002B2CF9AE}" pid="3" name="KSOProductBuildVer">
    <vt:lpwstr>2052-11.1.0.11636</vt:lpwstr>
  </property>
  <property fmtid="{D5CDD505-2E9C-101B-9397-08002B2CF9AE}" pid="4" name="ICV">
    <vt:lpwstr>4B26855DE85247179E1841A8E842B005</vt:lpwstr>
  </property>
</Properties>
</file>