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深圳市重点实验室组建资助</w:t>
      </w:r>
    </w:p>
    <w:p>
      <w:pPr>
        <w:pStyle w:val="11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指南</w:t>
      </w:r>
    </w:p>
    <w:p>
      <w:pPr>
        <w:pStyle w:val="11"/>
        <w:spacing w:line="560" w:lineRule="exact"/>
        <w:rPr>
          <w:rFonts w:ascii="仿宋_GB2312" w:eastAsia="仿宋_GB2312" w:cs="仿宋_GB2312"/>
          <w:color w:val="auto"/>
          <w:sz w:val="32"/>
          <w:szCs w:val="32"/>
        </w:rPr>
      </w:pPr>
    </w:p>
    <w:bookmarkEnd w:id="0"/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一、申请内容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以开展基础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研究、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基础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研究、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前沿技术研究，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培养人才、支撑产业和社会发展为目标的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深圳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市重点实验室组建资助。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重点支持领域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及学科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新一代电子信息、高端制造装备、绿色低碳、新材料、生物医药与健康、海洋经济及我市未来产业等对应的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相关学科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1"/>
        <w:spacing w:line="560" w:lineRule="exact"/>
        <w:ind w:firstLine="645"/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对于已布局市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重点实验室</w:t>
      </w:r>
      <w:r>
        <w:rPr>
          <w:rFonts w:hint="eastAsia" w:ascii="仿宋_GB2312" w:eastAsia="仿宋_GB2312" w:cs="仿宋_GB2312"/>
          <w:sz w:val="32"/>
          <w:szCs w:val="32"/>
        </w:rPr>
        <w:t>的细分领域，不进行重复布局。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二、设定依据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《深圳经济特区科技创新条例》（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深圳市第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届人民代表大会常务委员会公告第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205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关于促进科技创新的若干措施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（深发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〔2016〕7号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《深圳市关于加强基础科学研究的实施办法》（深府规〔2018〕25号）；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）《深圳市科技计划项目管理办法》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深科技创新规〔201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）《深圳市科技研发资金管理办法》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(深科技创新规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)；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(六）《深圳市重点实验室建设和运行管理办法》（深科技创新规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11号）。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三、支持强度与方式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支持强度：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支持数量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受科技研发资金年度总额控制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每家申报单位最多立项2个，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单个资助最高500万元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企业类实验室资助额不高于项目总预算的50%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支持方式：事前资助。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本批次资助资金纳入2023年度市级财政预算安排。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条件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（一）申请单位应当是在深圳市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深汕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特别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合作区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依法注册、具有独立法人资格的企业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高等院校、科研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院所和社会组织或者经市政府批准的其它机构；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申请单位未列入“深圳信用网”国家或深圳市黑名单、不存在未在规定期限内退回财政资金的情形。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（二）实验室有清晰的定位和目标，研究方向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不得与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已有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市级及以上已建重点实验室重复，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研究内容具有前瞻性和特色，且与实验室名称相符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统一命名为“深圳市××重点实验室”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已有市重点实验室请参考“深圳市科技创新委员会官网科技服务专栏”（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http://stic.sz.gov.cn/kjfw/cxzt/szscxztmd/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与实验室研究方向相关的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实验室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主任、副主任、学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带头人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科研队伍和技术人员队伍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固定人员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应当在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以上</w:t>
      </w:r>
      <w:r>
        <w:rPr>
          <w:rFonts w:ascii="仿宋_GB2312" w:hAnsi="宋体" w:eastAsia="仿宋_GB2312"/>
          <w:color w:val="auto"/>
          <w:sz w:val="32"/>
          <w:szCs w:val="32"/>
        </w:rPr>
        <w:t>，其中学术/技术带头人不少于2人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固定科研人员不得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与已获得市级财政支持的市级及以上已有的其他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科技创新载体组成人员交叉重复。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重点实验室主任及科研团队成员未被列入我委验收不通过名单、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" w:eastAsia="zh-CN"/>
        </w:rPr>
        <w:t>超期未申请验收名单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" w:eastAsia="zh-CN"/>
        </w:rPr>
        <w:t>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深圳市科研诚信异常名录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（四）具备较强科研实力，原则上应具备以下条件：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实验室成员</w:t>
      </w:r>
      <w:r>
        <w:rPr>
          <w:rFonts w:ascii="仿宋_GB2312" w:hAnsi="宋体" w:eastAsia="仿宋_GB2312"/>
          <w:color w:val="auto"/>
          <w:sz w:val="32"/>
          <w:szCs w:val="32"/>
        </w:rPr>
        <w:t>近2年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2020年1月1日—2021年12月31日，下同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color w:val="auto"/>
          <w:sz w:val="32"/>
          <w:szCs w:val="32"/>
        </w:rPr>
        <w:t>被SCI、EI、ISTP、ISR等收录的论文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</w:t>
      </w:r>
      <w:r>
        <w:rPr>
          <w:rFonts w:ascii="仿宋_GB2312" w:hAnsi="宋体" w:eastAsia="仿宋_GB2312"/>
          <w:color w:val="auto"/>
          <w:sz w:val="32"/>
          <w:szCs w:val="32"/>
        </w:rPr>
        <w:t>获得授权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ascii="仿宋_GB2312" w:hAnsi="宋体" w:eastAsia="仿宋_GB2312"/>
          <w:color w:val="auto"/>
          <w:sz w:val="32"/>
          <w:szCs w:val="32"/>
        </w:rPr>
        <w:t>知识产权（包括发明、实用新型、非简单改变产品图案和形状的外观设计、软件著作权、集成电路布图设计专有权、植物新品种）合计不少于20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项，</w:t>
      </w:r>
      <w:r>
        <w:rPr>
          <w:rFonts w:ascii="仿宋_GB2312" w:hAnsi="宋体" w:eastAsia="仿宋_GB2312"/>
          <w:color w:val="auto"/>
          <w:sz w:val="32"/>
          <w:szCs w:val="32"/>
        </w:rPr>
        <w:t>其中被SCI、EI收录的期刊论文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</w:t>
      </w:r>
      <w:r>
        <w:rPr>
          <w:rFonts w:ascii="仿宋_GB2312" w:hAnsi="宋体" w:eastAsia="仿宋_GB2312"/>
          <w:color w:val="auto"/>
          <w:sz w:val="32"/>
          <w:szCs w:val="32"/>
        </w:rPr>
        <w:t>授权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ascii="仿宋_GB2312" w:hAnsi="宋体" w:eastAsia="仿宋_GB2312"/>
          <w:color w:val="auto"/>
          <w:sz w:val="32"/>
          <w:szCs w:val="32"/>
        </w:rPr>
        <w:t>发明专利、软件著作权、集成电路布图设计专有权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ascii="仿宋_GB2312" w:hAnsi="宋体" w:eastAsia="仿宋_GB2312"/>
          <w:color w:val="auto"/>
          <w:sz w:val="32"/>
          <w:szCs w:val="32"/>
        </w:rPr>
        <w:t>植物新品种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合计</w:t>
      </w:r>
      <w:r>
        <w:rPr>
          <w:rFonts w:ascii="仿宋_GB2312" w:hAnsi="宋体" w:eastAsia="仿宋_GB2312"/>
          <w:color w:val="auto"/>
          <w:sz w:val="32"/>
          <w:szCs w:val="32"/>
        </w:rPr>
        <w:t>不少于10项。</w:t>
      </w:r>
    </w:p>
    <w:p>
      <w:pPr>
        <w:keepNext w:val="0"/>
        <w:keepLines w:val="0"/>
        <w:pageBreakBefore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院校类实验室应在本学科或领域中具有国内领先水平或特色，实验室成员近</w:t>
      </w:r>
      <w:r>
        <w:rPr>
          <w:rFonts w:ascii="仿宋_GB2312" w:hAnsi="宋体" w:eastAsia="仿宋_GB2312"/>
          <w:color w:val="auto"/>
          <w:sz w:val="32"/>
          <w:szCs w:val="32"/>
        </w:rPr>
        <w:t>2年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以依托单位名义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主持承担</w:t>
      </w:r>
      <w:r>
        <w:rPr>
          <w:rFonts w:ascii="仿宋_GB2312" w:hAnsi="宋体" w:eastAsia="仿宋_GB2312"/>
          <w:color w:val="auto"/>
          <w:sz w:val="32"/>
          <w:szCs w:val="32"/>
        </w:rPr>
        <w:t>新立项的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与实验室研究方向相关的</w:t>
      </w:r>
      <w:r>
        <w:rPr>
          <w:rFonts w:ascii="仿宋_GB2312" w:hAnsi="宋体" w:eastAsia="仿宋_GB2312"/>
          <w:color w:val="auto"/>
          <w:sz w:val="32"/>
          <w:szCs w:val="32"/>
        </w:rPr>
        <w:t>省部级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</w:t>
      </w:r>
      <w:r>
        <w:rPr>
          <w:rFonts w:ascii="仿宋_GB2312" w:hAnsi="宋体" w:eastAsia="仿宋_GB2312"/>
          <w:color w:val="auto"/>
          <w:sz w:val="32"/>
          <w:szCs w:val="32"/>
        </w:rPr>
        <w:t>以上科研项目不少于7项（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不包括市级，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</w:t>
      </w:r>
      <w:r>
        <w:rPr>
          <w:rFonts w:ascii="仿宋_GB2312" w:hAnsi="宋体" w:eastAsia="仿宋_GB2312"/>
          <w:color w:val="auto"/>
          <w:sz w:val="32"/>
          <w:szCs w:val="32"/>
        </w:rPr>
        <w:t>国家级项目不少于1项），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归属于依托单位的</w:t>
      </w:r>
      <w:r>
        <w:rPr>
          <w:rFonts w:ascii="仿宋_GB2312" w:hAnsi="宋体" w:eastAsia="仿宋_GB2312"/>
          <w:color w:val="auto"/>
          <w:sz w:val="32"/>
          <w:szCs w:val="32"/>
        </w:rPr>
        <w:t>立项总金额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在</w:t>
      </w:r>
      <w:r>
        <w:rPr>
          <w:rFonts w:ascii="仿宋_GB2312" w:hAnsi="宋体" w:eastAsia="仿宋_GB2312"/>
          <w:color w:val="auto"/>
          <w:sz w:val="32"/>
          <w:szCs w:val="32"/>
        </w:rPr>
        <w:t>700万元以上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，同等或更高水平的海外项目可纳入统计，与其他高校、科研院所和企业有良好的科研合作与学术交流基础，能对外开放并发挥行业带动和辐射作用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，优先支持有固定人员承担国家或省重点项目的实验室。</w:t>
      </w:r>
    </w:p>
    <w:p>
      <w:pPr>
        <w:keepNext w:val="0"/>
        <w:keepLines w:val="0"/>
        <w:pageBreakBefore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鼓励企业积极申报，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类实验室的依托单位，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应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在本行业或领域内具有较高的知名度和影响力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国家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高新技术企业，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具备承担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市级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及以上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重大科研项目的能力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能为深圳市的产业和社会发展提供关键技术和共性技术支撑，具有较强的技术储备和技术扩散能力，</w:t>
      </w:r>
      <w:r>
        <w:rPr>
          <w:rFonts w:ascii="仿宋_GB2312" w:hAnsi="宋体" w:eastAsia="仿宋_GB2312"/>
          <w:color w:val="auto"/>
          <w:sz w:val="32"/>
          <w:szCs w:val="32"/>
        </w:rPr>
        <w:t>与高等院校、科研机构等建立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了</w:t>
      </w:r>
      <w:r>
        <w:rPr>
          <w:rFonts w:ascii="仿宋_GB2312" w:hAnsi="宋体" w:eastAsia="仿宋_GB2312"/>
          <w:color w:val="auto"/>
          <w:sz w:val="32"/>
          <w:szCs w:val="32"/>
        </w:rPr>
        <w:t>长期稳定的产学研合作关系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；申请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近2年的主营业务收入超过5亿元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/每年、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按高新技术企业认定管理办法经专项审计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确认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的研发费用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支出在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4000万元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/每年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以上。</w:t>
      </w:r>
    </w:p>
    <w:p>
      <w:pPr>
        <w:keepNext w:val="0"/>
        <w:keepLines w:val="0"/>
        <w:pageBreakBefore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5.具备良好的科学研究和学术交流条件，有合理的管理体制和运行机制，有相对集中的科研实验场地。实验室科研用房面积7</w:t>
      </w:r>
      <w:r>
        <w:rPr>
          <w:rFonts w:ascii="仿宋_GB2312" w:hAnsi="宋体" w:eastAsia="仿宋_GB2312"/>
          <w:color w:val="auto"/>
          <w:sz w:val="32"/>
          <w:szCs w:val="32"/>
        </w:rPr>
        <w:t>00平方米以上，科研仪器设备原值不低于700万元（软件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领域</w:t>
      </w:r>
      <w:r>
        <w:rPr>
          <w:rFonts w:ascii="仿宋_GB2312" w:hAnsi="宋体" w:eastAsia="仿宋_GB2312"/>
          <w:color w:val="auto"/>
          <w:sz w:val="32"/>
          <w:szCs w:val="32"/>
        </w:rPr>
        <w:t>实验室原值不低于400万元）。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（五）企业类申报单位每年度可申报1项市重点实验室组建计划；高校或科研机构，每年度最多可申报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（六）申请人应谨慎填写项目申报书的人员信息、研发内容、技术经济指标、经费安排等内容，申请书中内容将作为合同内容生成依据。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项目一经立项，项目投入资金总额不予调整，市财政资金申请额与实际下达资助额之间的差额部分，由项目申请单位自筹资金补足。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（七）项目申报材料中拟取得的学术、技术及经济效益等指标应严肃、科学，申报指标将作为项目评审、合同签订、过程管理、验收结题及项目评估的依据，原则上不予调整。请各申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单位严肃对待。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、受理机关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（一）受理机关：市科技创新委员会。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（二）受理时间：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网上填报受理时间为：20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（截止至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18:00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、决定机关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市科技创新委员会。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、办理程序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申请单位网上申报——市科技创新委员会对申请材料进行初审——专家答辩评审——现场考察——市科技创新委员会审定——社会公示——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项目入库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Calibri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 ! important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00000000"/>
    <w:rsid w:val="017F5AF1"/>
    <w:rsid w:val="025826D3"/>
    <w:rsid w:val="02D228C2"/>
    <w:rsid w:val="036632D9"/>
    <w:rsid w:val="03FB5AB1"/>
    <w:rsid w:val="066655E9"/>
    <w:rsid w:val="07C22460"/>
    <w:rsid w:val="08244B8B"/>
    <w:rsid w:val="0DAC29A0"/>
    <w:rsid w:val="0E942322"/>
    <w:rsid w:val="0F0F6B9E"/>
    <w:rsid w:val="10744E24"/>
    <w:rsid w:val="146B3CAE"/>
    <w:rsid w:val="153E5A77"/>
    <w:rsid w:val="155206CB"/>
    <w:rsid w:val="15810538"/>
    <w:rsid w:val="1679572C"/>
    <w:rsid w:val="1B7E1D8D"/>
    <w:rsid w:val="1DD33AF3"/>
    <w:rsid w:val="1ECC34B8"/>
    <w:rsid w:val="1F0042DB"/>
    <w:rsid w:val="289D0D0D"/>
    <w:rsid w:val="29565D12"/>
    <w:rsid w:val="2DDFE487"/>
    <w:rsid w:val="2F024211"/>
    <w:rsid w:val="2FC359F7"/>
    <w:rsid w:val="2FC469D5"/>
    <w:rsid w:val="338C282B"/>
    <w:rsid w:val="348E56A8"/>
    <w:rsid w:val="37B635F2"/>
    <w:rsid w:val="3A1F6A27"/>
    <w:rsid w:val="3A20563C"/>
    <w:rsid w:val="3A7E1421"/>
    <w:rsid w:val="3B6D2885"/>
    <w:rsid w:val="3BD55B0A"/>
    <w:rsid w:val="3C371448"/>
    <w:rsid w:val="3C900181"/>
    <w:rsid w:val="3D0421F5"/>
    <w:rsid w:val="40FD082C"/>
    <w:rsid w:val="41576F41"/>
    <w:rsid w:val="44B3364E"/>
    <w:rsid w:val="48724C66"/>
    <w:rsid w:val="4D0403C1"/>
    <w:rsid w:val="4D4422FF"/>
    <w:rsid w:val="4D786730"/>
    <w:rsid w:val="4E515E53"/>
    <w:rsid w:val="503278AC"/>
    <w:rsid w:val="51440DA6"/>
    <w:rsid w:val="519253FF"/>
    <w:rsid w:val="543E5047"/>
    <w:rsid w:val="57B22F17"/>
    <w:rsid w:val="57EC2528"/>
    <w:rsid w:val="586C4F5E"/>
    <w:rsid w:val="59B03F85"/>
    <w:rsid w:val="59B9D0C2"/>
    <w:rsid w:val="5ACD510D"/>
    <w:rsid w:val="5E376D12"/>
    <w:rsid w:val="5E76CF03"/>
    <w:rsid w:val="5FBF6E71"/>
    <w:rsid w:val="602012EF"/>
    <w:rsid w:val="605C57B7"/>
    <w:rsid w:val="60AE6C5B"/>
    <w:rsid w:val="61705ADB"/>
    <w:rsid w:val="630206D8"/>
    <w:rsid w:val="68C565C0"/>
    <w:rsid w:val="69F33B66"/>
    <w:rsid w:val="6AC03731"/>
    <w:rsid w:val="6BE24DE5"/>
    <w:rsid w:val="6C7C4950"/>
    <w:rsid w:val="6D0E45FB"/>
    <w:rsid w:val="6EC04BF6"/>
    <w:rsid w:val="6EEFA09A"/>
    <w:rsid w:val="71576CF0"/>
    <w:rsid w:val="721215F0"/>
    <w:rsid w:val="73295A45"/>
    <w:rsid w:val="73970445"/>
    <w:rsid w:val="766F170A"/>
    <w:rsid w:val="776F85D6"/>
    <w:rsid w:val="778C2FCC"/>
    <w:rsid w:val="77FD6F8B"/>
    <w:rsid w:val="79A61AE8"/>
    <w:rsid w:val="79B20B33"/>
    <w:rsid w:val="7A956795"/>
    <w:rsid w:val="7B7A43E4"/>
    <w:rsid w:val="7B7F1275"/>
    <w:rsid w:val="7B8E43EA"/>
    <w:rsid w:val="7CF37E0D"/>
    <w:rsid w:val="7D7CA28A"/>
    <w:rsid w:val="7DB17410"/>
    <w:rsid w:val="7E1F1D6C"/>
    <w:rsid w:val="7FC3E22B"/>
    <w:rsid w:val="8FB8DA4A"/>
    <w:rsid w:val="9FA7F6C9"/>
    <w:rsid w:val="A8D32965"/>
    <w:rsid w:val="AFF67250"/>
    <w:rsid w:val="BBE9B993"/>
    <w:rsid w:val="BFB7020C"/>
    <w:rsid w:val="C977DF3C"/>
    <w:rsid w:val="DCFE64E6"/>
    <w:rsid w:val="DDFDE156"/>
    <w:rsid w:val="EA7EB91D"/>
    <w:rsid w:val="EBFC0FE1"/>
    <w:rsid w:val="EE775541"/>
    <w:rsid w:val="FBBF2031"/>
    <w:rsid w:val="FFE79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4293F4"/>
      <w:u w:val="none"/>
    </w:rPr>
  </w:style>
  <w:style w:type="character" w:styleId="7">
    <w:name w:val="Emphasis"/>
    <w:basedOn w:val="5"/>
    <w:qFormat/>
    <w:uiPriority w:val="0"/>
    <w:rPr>
      <w:color w:val="C60A00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before2"/>
    <w:basedOn w:val="5"/>
    <w:uiPriority w:val="0"/>
    <w:rPr>
      <w:rFonts w:ascii="iconfont ! important" w:hAnsi="iconfont ! important" w:eastAsia="iconfont ! important" w:cs="iconfont ! important"/>
    </w:rPr>
  </w:style>
  <w:style w:type="character" w:customStyle="1" w:styleId="10">
    <w:name w:val="before10"/>
    <w:basedOn w:val="5"/>
    <w:uiPriority w:val="0"/>
    <w:rPr>
      <w:rFonts w:ascii="iconfont ! important" w:hAnsi="iconfont ! important" w:eastAsia="iconfont ! important" w:cs="iconfont ! important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3331</Words>
  <Characters>3460</Characters>
  <Lines>0</Lines>
  <Paragraphs>0</Paragraphs>
  <TotalTime>10</TotalTime>
  <ScaleCrop>false</ScaleCrop>
  <LinksUpToDate>false</LinksUpToDate>
  <CharactersWithSpaces>3471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利威尔</cp:lastModifiedBy>
  <cp:lastPrinted>2022-04-23T18:05:00Z</cp:lastPrinted>
  <dcterms:modified xsi:type="dcterms:W3CDTF">2022-05-07T10:23:37Z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FC4C149F34A945E6B2DB16CEFD88825E</vt:lpwstr>
  </property>
</Properties>
</file>