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深圳市商务局促进消费提升扶持计划（纾困政策—批发零售及餐饮企业稳增长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奖励项目）申报指南</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default" w:ascii="方正小标宋简体" w:eastAsia="方正小标宋简体"/>
          <w:sz w:val="44"/>
          <w:szCs w:val="44"/>
        </w:rPr>
        <w:t xml:space="preserve">            </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hAnsi="仿宋_GB2312" w:eastAsia="仿宋_GB2312" w:cs="仿宋_GB2312"/>
          <w:sz w:val="32"/>
          <w:szCs w:val="32"/>
        </w:rPr>
        <w:t>为</w:t>
      </w:r>
      <w:r>
        <w:rPr>
          <w:rFonts w:hint="eastAsia" w:ascii="仿宋_GB2312" w:hAnsi="仿宋_GB2312" w:eastAsia="仿宋_GB2312" w:cs="仿宋_GB2312"/>
          <w:sz w:val="32"/>
          <w:szCs w:val="32"/>
        </w:rPr>
        <w:t>统筹好疫情防控和经济社会发展，进一步减轻市场主体负担，全力帮助市场主体渡过难关</w:t>
      </w:r>
      <w:r>
        <w:rPr>
          <w:rFonts w:ascii="仿宋_GB2312" w:hAnsi="仿宋_GB2312" w:eastAsia="仿宋_GB2312" w:cs="仿宋_GB2312"/>
          <w:sz w:val="32"/>
          <w:szCs w:val="32"/>
        </w:rPr>
        <w:t>，</w:t>
      </w:r>
      <w:r>
        <w:rPr>
          <w:rFonts w:ascii="仿宋_GB2312" w:hAnsi="仿宋_GB2312" w:eastAsia="仿宋_GB2312" w:cs="仿宋_GB2312"/>
          <w:kern w:val="0"/>
          <w:sz w:val="32"/>
          <w:szCs w:val="32"/>
        </w:rPr>
        <w:t>支持批发零售企业扩大市场、挖潜增效，</w:t>
      </w:r>
      <w:r>
        <w:rPr>
          <w:rFonts w:hint="eastAsia" w:ascii="仿宋_GB2312" w:hAnsi="仿宋_GB2312" w:eastAsia="仿宋_GB2312" w:cs="仿宋_GB2312"/>
          <w:kern w:val="0"/>
          <w:sz w:val="32"/>
          <w:szCs w:val="32"/>
        </w:rPr>
        <w:t>支持</w:t>
      </w:r>
      <w:r>
        <w:rPr>
          <w:rFonts w:ascii="仿宋_GB2312" w:hAnsi="仿宋_GB2312" w:eastAsia="仿宋_GB2312" w:cs="仿宋_GB2312"/>
          <w:kern w:val="0"/>
          <w:sz w:val="32"/>
          <w:szCs w:val="32"/>
        </w:rPr>
        <w:t>餐饮</w:t>
      </w:r>
      <w:r>
        <w:rPr>
          <w:rFonts w:hint="eastAsia" w:ascii="仿宋_GB2312" w:hAnsi="仿宋_GB2312" w:eastAsia="仿宋_GB2312" w:cs="仿宋_GB2312"/>
          <w:kern w:val="0"/>
          <w:sz w:val="32"/>
          <w:szCs w:val="32"/>
        </w:rPr>
        <w:t>企业做特色提规模</w:t>
      </w:r>
      <w:r>
        <w:rPr>
          <w:rFonts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《深圳市关于应对新冠肺炎疫情进一步帮助市场主体纾困解难的若干措施》（深府</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〕2</w:t>
      </w:r>
      <w:r>
        <w:rPr>
          <w:rFonts w:ascii="仿宋_GB2312" w:eastAsia="仿宋_GB2312"/>
          <w:sz w:val="32"/>
          <w:szCs w:val="32"/>
        </w:rPr>
        <w:t>8</w:t>
      </w:r>
      <w:r>
        <w:rPr>
          <w:rFonts w:hint="eastAsia" w:ascii="仿宋_GB2312" w:eastAsia="仿宋_GB2312"/>
          <w:sz w:val="32"/>
          <w:szCs w:val="32"/>
        </w:rPr>
        <w:t>号</w:t>
      </w:r>
      <w:r>
        <w:rPr>
          <w:rFonts w:ascii="仿宋_GB2312" w:eastAsia="仿宋_GB2312"/>
          <w:sz w:val="32"/>
          <w:szCs w:val="32"/>
        </w:rPr>
        <w:t>）及相关文件。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《深圳市商务发展专项资金管理办法》（深商务规〔2020〕2号）。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三、支持数量和支持方式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楷体_GB2312" w:eastAsia="楷体_GB2312"/>
          <w:sz w:val="32"/>
          <w:szCs w:val="32"/>
        </w:rPr>
      </w:pPr>
      <w:r>
        <w:rPr>
          <w:rFonts w:hint="eastAsia" w:ascii="楷体_GB2312" w:eastAsia="楷体_GB2312"/>
          <w:sz w:val="32"/>
          <w:szCs w:val="32"/>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有数量限制，受财政下达资金预算控制</w:t>
      </w:r>
      <w:r>
        <w:rPr>
          <w:rFonts w:ascii="仿宋_GB2312" w:eastAsia="仿宋_GB2312"/>
          <w:sz w:val="32"/>
          <w:szCs w:val="32"/>
        </w:rPr>
        <w:t>。</w:t>
      </w:r>
      <w:r>
        <w:rPr>
          <w:rFonts w:hint="eastAsia" w:ascii="仿宋_GB2312" w:eastAsia="仿宋_GB2312"/>
          <w:sz w:val="32"/>
          <w:szCs w:val="32"/>
        </w:rPr>
        <w:t>视申报情况，我局据以对</w:t>
      </w:r>
      <w:r>
        <w:rPr>
          <w:rFonts w:ascii="仿宋_GB2312" w:eastAsia="仿宋_GB2312"/>
          <w:sz w:val="32"/>
          <w:szCs w:val="32"/>
        </w:rPr>
        <w:t>奖励</w:t>
      </w:r>
      <w:r>
        <w:rPr>
          <w:rFonts w:hint="eastAsia" w:ascii="仿宋_GB2312" w:eastAsia="仿宋_GB2312"/>
          <w:sz w:val="32"/>
          <w:szCs w:val="32"/>
        </w:rPr>
        <w:t>金额和拨付进度等进行统一调整，申报单位应无条件同意调整结果。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事后奖励。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ascii="黑体" w:hAnsi="黑体" w:eastAsia="黑体" w:cs="黑体"/>
          <w:sz w:val="32"/>
          <w:szCs w:val="32"/>
        </w:rPr>
        <w:t>申报条件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szCs w:val="32"/>
        </w:rPr>
        <w:t>（一）基础条件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s="仿宋_GB2312"/>
        </w:rPr>
      </w:pPr>
      <w:r>
        <w:rPr>
          <w:rFonts w:cs="仿宋_GB2312"/>
          <w:kern w:val="0"/>
          <w:lang w:bidi="ar"/>
        </w:rPr>
        <w:t>1.</w:t>
      </w:r>
      <w:r>
        <w:rPr>
          <w:rFonts w:hint="eastAsia" w:cs="仿宋_GB2312"/>
          <w:kern w:val="0"/>
          <w:lang w:bidi="ar"/>
        </w:rPr>
        <w:t>申报主体为在深圳市（含深汕特别合作区）依法登记注册的法人企业</w:t>
      </w:r>
      <w:r>
        <w:rPr>
          <w:rFonts w:hint="eastAsia" w:cs="仿宋_GB231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t>2.</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cs="仿宋_GB2312"/>
        </w:rPr>
        <w:t>3.</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（二）专项条件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cs="仿宋_GB2312"/>
        </w:rPr>
      </w:pPr>
      <w:r>
        <w:rPr>
          <w:rFonts w:cs="仿宋_GB2312"/>
        </w:rPr>
        <w:t>1.批发零售业稳增长奖励项目：</w:t>
      </w:r>
      <w:r>
        <w:rPr>
          <w:rFonts w:hint="eastAsia" w:cs="仿宋_GB2312"/>
        </w:rPr>
        <w:t>申报主体在“国家统计局统计联网直报平台”中按照《国民经济行业分类》（GB/T 4754—2017）属于“批发业（F51）、零售业（F52）</w:t>
      </w:r>
      <w:r>
        <w:rPr>
          <w:rFonts w:cs="仿宋_GB231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cs="仿宋_GB2312"/>
        </w:rPr>
      </w:pPr>
      <w:r>
        <w:rPr>
          <w:rFonts w:cs="仿宋_GB2312"/>
        </w:rPr>
        <w:t>2.餐饮业稳增长奖励项目：</w:t>
      </w:r>
      <w:r>
        <w:rPr>
          <w:rFonts w:hint="eastAsia" w:cs="仿宋_GB2312"/>
        </w:rPr>
        <w:t>申报主体在“国家统计局统计联网直报平台”中按照《国民经济行业分类》（GB/T 4754—2017）属于“餐饮业（H62）”</w:t>
      </w:r>
      <w:r>
        <w:rPr>
          <w:rFonts w:hint="eastAsia" w:hAnsi="微软雅黑" w:cs="宋体"/>
          <w:kern w:val="0"/>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rPr>
      </w:pPr>
      <w:r>
        <w:rPr>
          <w:rFonts w:ascii="黑体" w:hAnsi="黑体" w:eastAsia="黑体"/>
          <w:sz w:val="32"/>
          <w:szCs w:val="32"/>
        </w:rPr>
        <w:t>五</w:t>
      </w:r>
      <w:r>
        <w:rPr>
          <w:rFonts w:hint="eastAsia" w:ascii="黑体" w:hAnsi="黑体" w:eastAsia="黑体"/>
          <w:sz w:val="32"/>
          <w:szCs w:val="32"/>
        </w:rPr>
        <w:t>、支持内容和支持标准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（一）支持内容</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cs="仿宋_GB2312"/>
        </w:rPr>
      </w:pPr>
      <w:r>
        <w:rPr>
          <w:rFonts w:cs="仿宋_GB2312"/>
        </w:rPr>
        <w:t>1.批发零售业稳增长奖励项目：支持企业扩大市场、挖潜增效，对零售企业202</w:t>
      </w:r>
      <w:r>
        <w:rPr>
          <w:rFonts w:cs="仿宋_GB2312"/>
          <w:highlight w:val="none"/>
        </w:rPr>
        <w:t>2年上半年（</w:t>
      </w:r>
      <w:r>
        <w:rPr>
          <w:rFonts w:hint="default" w:cs="仿宋_GB2312"/>
          <w:highlight w:val="none"/>
        </w:rPr>
        <w:t>1-6月份，下同</w:t>
      </w:r>
      <w:r>
        <w:rPr>
          <w:rFonts w:cs="仿宋_GB2312"/>
          <w:highlight w:val="none"/>
        </w:rPr>
        <w:t>）的零</w:t>
      </w:r>
      <w:r>
        <w:rPr>
          <w:rFonts w:cs="仿宋_GB2312"/>
        </w:rPr>
        <w:t>售额增长、对批发企业2022年上半年的销售额增长给予奖励。</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cs="仿宋_GB2312"/>
        </w:rPr>
      </w:pPr>
      <w:r>
        <w:rPr>
          <w:rFonts w:cs="仿宋_GB2312"/>
        </w:rPr>
        <w:t>2.餐饮业稳增长奖励项目：支持企业做特色提规模，对餐饮企业2022年上半年的主营业务收入给予奖励。</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（二）支持标准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cs="仿宋_GB2312"/>
        </w:rPr>
      </w:pPr>
      <w:r>
        <w:t>1.</w:t>
      </w:r>
      <w:r>
        <w:rPr>
          <w:rFonts w:cs="仿宋_GB2312"/>
        </w:rPr>
        <w:t>批发零售业稳增长奖励项目：</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cs="仿宋_GB2312"/>
        </w:rPr>
      </w:pPr>
      <w:r>
        <w:rPr>
          <w:rFonts w:cs="仿宋_GB2312"/>
        </w:rPr>
        <w:t>（1）对零售企业2022年上半年的零售额比2021年同期每增加1亿元奖励50万元，每家企业奖励金额最高不超过500万元。</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cs="仿宋_GB2312"/>
        </w:rPr>
      </w:pPr>
      <w:r>
        <w:rPr>
          <w:rFonts w:cs="仿宋_GB2312"/>
        </w:rPr>
        <w:t xml:space="preserve">（2）对批发企业2022年上半年的销售额比2021年同期每增加1亿元奖励5万元，每家企业奖励金额不超过500万元。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cs="仿宋_GB2312"/>
        </w:rPr>
      </w:pPr>
      <w:r>
        <w:rPr>
          <w:rFonts w:cs="仿宋_GB2312"/>
        </w:rPr>
        <w:t>2.餐饮业稳增长奖励项目：对餐饮企业2022年上半年的主营业务收入每1000万元奖励5万元，</w:t>
      </w:r>
      <w:r>
        <w:rPr>
          <w:rFonts w:cs="仿宋_GB2312"/>
          <w:color w:val="000000"/>
          <w:kern w:val="0"/>
        </w:rPr>
        <w:t>每家企业最高奖励100万元</w:t>
      </w:r>
      <w:r>
        <w:rPr>
          <w:rFonts w:cs="仿宋_GB2312"/>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cs="仿宋_GB2312"/>
          <w:highlight w:val="none"/>
        </w:rPr>
      </w:pPr>
      <w:r>
        <w:rPr>
          <w:rFonts w:cs="仿宋_GB2312"/>
        </w:rPr>
        <w:t>批发、</w:t>
      </w:r>
      <w:r>
        <w:rPr>
          <w:rFonts w:cs="仿宋_GB2312"/>
          <w:highlight w:val="none"/>
        </w:rPr>
        <w:t>零售企业的销售额、零售额数据以企业上报至</w:t>
      </w:r>
      <w:r>
        <w:rPr>
          <w:rFonts w:hint="eastAsia" w:cs="仿宋_GB2312"/>
          <w:highlight w:val="none"/>
        </w:rPr>
        <w:t>国家统计局统计联网直报平台</w:t>
      </w:r>
      <w:r>
        <w:rPr>
          <w:rFonts w:cs="仿宋_GB2312"/>
          <w:highlight w:val="none"/>
        </w:rPr>
        <w:t>的相关数据为准。餐饮企业的主营业务收入数据以专项审计为准。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微软雅黑" w:hAnsi="微软雅黑" w:eastAsia="微软雅黑" w:cs="微软雅黑"/>
          <w:b w:val="0"/>
          <w:bCs w:val="0"/>
          <w:color w:val="auto"/>
          <w:sz w:val="32"/>
          <w:szCs w:val="32"/>
          <w:lang w:val="en-US" w:eastAsia="zh-CN"/>
        </w:rPr>
        <w:t>六</w:t>
      </w:r>
      <w:r>
        <w:rPr>
          <w:rFonts w:hint="eastAsia" w:ascii="黑体" w:hAnsi="黑体" w:eastAsia="黑体"/>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1.网络填</w:t>
      </w:r>
      <w:r>
        <w:rPr>
          <w:rFonts w:hint="eastAsia" w:ascii="Times New Roman" w:hAnsi="Times New Roman" w:eastAsia="仿宋_GB2312"/>
          <w:sz w:val="32"/>
          <w:szCs w:val="32"/>
        </w:rPr>
        <w:t>报时间：</w:t>
      </w:r>
      <w:r>
        <w:rPr>
          <w:rFonts w:hint="eastAsia" w:ascii="仿宋_GB2312" w:hAnsi="宋体" w:eastAsia="仿宋_GB2312"/>
          <w:sz w:val="32"/>
          <w:szCs w:val="32"/>
        </w:rPr>
        <w:t>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7</w:t>
      </w:r>
      <w:r>
        <w:rPr>
          <w:rFonts w:hint="eastAsia" w:ascii="仿宋_GB2312" w:hAnsi="宋体" w:eastAsia="仿宋_GB2312"/>
          <w:sz w:val="32"/>
          <w:szCs w:val="32"/>
        </w:rPr>
        <w:t>日—202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w:t>
      </w:r>
      <w:r>
        <w:rPr>
          <w:rFonts w:hint="default" w:ascii="仿宋_GB2312" w:hAnsi="宋体" w:eastAsia="仿宋_GB2312"/>
          <w:sz w:val="32"/>
          <w:szCs w:val="32"/>
        </w:rPr>
        <w:t>4</w:t>
      </w:r>
      <w:r>
        <w:rPr>
          <w:rFonts w:hint="eastAsia" w:ascii="仿宋_GB2312" w:hAnsi="宋体" w:eastAsia="仿宋_GB2312"/>
          <w:sz w:val="32"/>
          <w:szCs w:val="32"/>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2.材料提交时间：202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7</w:t>
      </w:r>
      <w:r>
        <w:rPr>
          <w:rFonts w:hint="eastAsia" w:ascii="仿宋_GB2312" w:hAnsi="宋体" w:eastAsia="仿宋_GB2312"/>
          <w:sz w:val="32"/>
          <w:szCs w:val="32"/>
        </w:rPr>
        <w:t>日—202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15</w:t>
      </w:r>
      <w:r>
        <w:rPr>
          <w:rFonts w:hint="eastAsia" w:ascii="仿宋_GB2312" w:hAnsi="宋体" w:eastAsia="仿宋_GB2312"/>
          <w:sz w:val="32"/>
          <w:szCs w:val="32"/>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申报单位在上述规定时间内在线填报、提交材料，逾期不予受理。（注意事项：网络填报时间截止后系统将不再受理新申请以及修改后再次提交的申请，故请尽量预留充足的修改时间）。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highlight w:val="none"/>
        </w:rPr>
        <w:t>发布申请指南——申</w:t>
      </w:r>
      <w:r>
        <w:rPr>
          <w:rFonts w:ascii="仿宋_GB2312" w:eastAsia="仿宋_GB2312"/>
          <w:sz w:val="32"/>
          <w:szCs w:val="32"/>
          <w:highlight w:val="none"/>
        </w:rPr>
        <w:t>报</w:t>
      </w:r>
      <w:r>
        <w:rPr>
          <w:rFonts w:hint="eastAsia" w:ascii="仿宋_GB2312" w:eastAsia="仿宋_GB2312"/>
          <w:sz w:val="32"/>
          <w:szCs w:val="32"/>
          <w:highlight w:val="none"/>
        </w:rPr>
        <w:t>单位网上申报——初审——申请单位向市行政服务大厅收文窗口提交申请材料——形式审查——资质审查——</w:t>
      </w:r>
      <w:r>
        <w:rPr>
          <w:rFonts w:hint="default" w:ascii="仿宋_GB2312" w:eastAsia="仿宋_GB2312"/>
          <w:sz w:val="32"/>
          <w:szCs w:val="32"/>
          <w:highlight w:val="none"/>
        </w:rPr>
        <w:t>专项审计（对餐饮企业主营业务收入数据进行专项审计）</w:t>
      </w:r>
      <w:r>
        <w:rPr>
          <w:rFonts w:hint="eastAsia" w:ascii="仿宋_GB2312" w:eastAsia="仿宋_GB2312"/>
          <w:sz w:val="32"/>
          <w:szCs w:val="32"/>
          <w:highlight w:val="none"/>
        </w:rPr>
        <w:t>——征求相关单位意见（</w:t>
      </w:r>
      <w:r>
        <w:rPr>
          <w:rFonts w:hint="eastAsia" w:ascii="仿宋_GB2312" w:hAnsi="仿宋" w:eastAsia="仿宋_GB2312"/>
          <w:sz w:val="32"/>
          <w:szCs w:val="32"/>
          <w:highlight w:val="none"/>
        </w:rPr>
        <w:t>根据需要核查比对：资质情况、统计数据，是否</w:t>
      </w:r>
      <w:r>
        <w:rPr>
          <w:rFonts w:hint="eastAsia" w:ascii="仿宋_GB2312" w:eastAsia="仿宋_GB2312"/>
          <w:sz w:val="32"/>
          <w:szCs w:val="32"/>
          <w:highlight w:val="none"/>
        </w:rPr>
        <w:t>存在重复资助情形</w:t>
      </w:r>
      <w:r>
        <w:rPr>
          <w:rFonts w:hint="eastAsia" w:ascii="仿宋_GB2312" w:hAnsi="仿宋" w:eastAsia="仿宋_GB2312"/>
          <w:sz w:val="32"/>
          <w:szCs w:val="32"/>
          <w:highlight w:val="none"/>
        </w:rPr>
        <w:t>，</w:t>
      </w:r>
      <w:r>
        <w:rPr>
          <w:rFonts w:ascii="仿宋_GB2312" w:eastAsia="仿宋_GB2312"/>
          <w:sz w:val="32"/>
          <w:szCs w:val="32"/>
          <w:highlight w:val="none"/>
        </w:rPr>
        <w:t>失信惩戒情况</w:t>
      </w:r>
      <w:r>
        <w:rPr>
          <w:rFonts w:hint="eastAsia" w:ascii="仿宋_GB2312" w:eastAsia="仿宋_GB2312"/>
          <w:sz w:val="32"/>
          <w:szCs w:val="32"/>
          <w:highlight w:val="none"/>
        </w:rPr>
        <w:t>，</w:t>
      </w:r>
      <w:r>
        <w:rPr>
          <w:rFonts w:hint="eastAsia" w:ascii="仿宋_GB2312" w:hAnsi="仿宋" w:eastAsia="仿宋_GB2312"/>
          <w:sz w:val="32"/>
          <w:szCs w:val="32"/>
          <w:highlight w:val="none"/>
        </w:rPr>
        <w:t>有无拖欠应缴还的财政性资金等情</w:t>
      </w:r>
      <w:r>
        <w:rPr>
          <w:rFonts w:hint="eastAsia" w:ascii="仿宋_GB2312" w:hAnsi="仿宋" w:eastAsia="仿宋_GB2312"/>
          <w:sz w:val="32"/>
          <w:szCs w:val="32"/>
        </w:rPr>
        <w:t>况</w:t>
      </w:r>
      <w:r>
        <w:rPr>
          <w:rFonts w:hint="eastAsia" w:ascii="仿宋_GB2312" w:eastAsia="仿宋_GB2312"/>
          <w:sz w:val="32"/>
          <w:szCs w:val="32"/>
        </w:rPr>
        <w:t>）——核定拟奖励计划——社会公示——申请人提交拨付资料——拨付资金。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Tg1YTM1NDNjZTllMjg3ZThiYjM3ZjVmNjg5ZTgifQ=="/>
  </w:docVars>
  <w:rsids>
    <w:rsidRoot w:val="00B56091"/>
    <w:rsid w:val="00803CAB"/>
    <w:rsid w:val="00B56091"/>
    <w:rsid w:val="01655E65"/>
    <w:rsid w:val="121A67F7"/>
    <w:rsid w:val="13CB5FFB"/>
    <w:rsid w:val="1B1E1106"/>
    <w:rsid w:val="2CDE8EE6"/>
    <w:rsid w:val="32871ADF"/>
    <w:rsid w:val="368F0CB2"/>
    <w:rsid w:val="37768FB8"/>
    <w:rsid w:val="387E0FDF"/>
    <w:rsid w:val="451C5E07"/>
    <w:rsid w:val="49BF49C2"/>
    <w:rsid w:val="50A53155"/>
    <w:rsid w:val="554DE151"/>
    <w:rsid w:val="5BBECF6C"/>
    <w:rsid w:val="5FF6CD00"/>
    <w:rsid w:val="65FF728B"/>
    <w:rsid w:val="6B7FBB8D"/>
    <w:rsid w:val="6DCD0425"/>
    <w:rsid w:val="6EAE76AF"/>
    <w:rsid w:val="6ED44ED9"/>
    <w:rsid w:val="73CD639B"/>
    <w:rsid w:val="74297E52"/>
    <w:rsid w:val="76D7C87F"/>
    <w:rsid w:val="76EFEC08"/>
    <w:rsid w:val="774F6F6C"/>
    <w:rsid w:val="77F5FDFF"/>
    <w:rsid w:val="77F7AE18"/>
    <w:rsid w:val="7BFF1A70"/>
    <w:rsid w:val="7BFF67F3"/>
    <w:rsid w:val="7D5DEB42"/>
    <w:rsid w:val="7FA9DCC6"/>
    <w:rsid w:val="9FFB36D0"/>
    <w:rsid w:val="BCDFAEEF"/>
    <w:rsid w:val="BE534290"/>
    <w:rsid w:val="CDBFB866"/>
    <w:rsid w:val="DBFF2928"/>
    <w:rsid w:val="EFAE8D52"/>
    <w:rsid w:val="F9F7D995"/>
    <w:rsid w:val="FE9F0999"/>
    <w:rsid w:val="FEDDD2B4"/>
    <w:rsid w:val="FFDD9C80"/>
    <w:rsid w:val="FFDF8AD2"/>
    <w:rsid w:val="FFEB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hAnsi="Courier New" w:cs="Courier New" w:asciiTheme="minorEastAsia" w:eastAsiaTheme="minorEastAsia"/>
    </w:rPr>
  </w:style>
  <w:style w:type="paragraph" w:styleId="4">
    <w:name w:val="Body Text"/>
    <w:basedOn w:val="1"/>
    <w:next w:val="1"/>
    <w:link w:val="8"/>
    <w:qFormat/>
    <w:uiPriority w:val="0"/>
    <w:rPr>
      <w:rFonts w:eastAsia="文星仿宋"/>
      <w:sz w:val="32"/>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character" w:customStyle="1" w:styleId="8">
    <w:name w:val="正文文本 字符"/>
    <w:basedOn w:val="7"/>
    <w:link w:val="4"/>
    <w:qFormat/>
    <w:uiPriority w:val="0"/>
    <w:rPr>
      <w:rFonts w:ascii="Calibri" w:hAnsi="Calibri" w:eastAsia="文星仿宋" w:cs="Times New Roman"/>
      <w:sz w:val="32"/>
      <w:szCs w:val="24"/>
    </w:rPr>
  </w:style>
  <w:style w:type="paragraph" w:customStyle="1" w:styleId="9">
    <w:name w:val="文件正文"/>
    <w:basedOn w:val="5"/>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0">
    <w:name w:val="纯文本 字符"/>
    <w:basedOn w:val="7"/>
    <w:link w:val="2"/>
    <w:semiHidden/>
    <w:qFormat/>
    <w:uiPriority w:val="99"/>
    <w:rPr>
      <w:rFonts w:hAnsi="Courier New" w:cs="Courier New" w:asciiTheme="minorEastAsia"/>
      <w:szCs w:val="24"/>
    </w:rPr>
  </w:style>
  <w:style w:type="character" w:customStyle="1" w:styleId="11">
    <w:name w:val="页脚 字符"/>
    <w:basedOn w:val="7"/>
    <w:link w:val="5"/>
    <w:semiHidden/>
    <w:qFormat/>
    <w:uiPriority w:val="99"/>
    <w:rPr>
      <w:rFonts w:ascii="Calibri" w:hAnsi="Calibri" w:eastAsia="宋体" w:cs="Times New Roman"/>
      <w:sz w:val="18"/>
      <w:szCs w:val="18"/>
    </w:rPr>
  </w:style>
  <w:style w:type="character" w:customStyle="1" w:styleId="12">
    <w:name w:val="标题 1 Char"/>
    <w:link w:val="3"/>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1907</Words>
  <Characters>2106</Characters>
  <Lines>14</Lines>
  <Paragraphs>4</Paragraphs>
  <TotalTime>11</TotalTime>
  <ScaleCrop>false</ScaleCrop>
  <LinksUpToDate>false</LinksUpToDate>
  <CharactersWithSpaces>2130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2022-04-26T10:24:00Z</dcterms:created>
  <dc:creator>陈 梓标</dc:creator>
  <cp:lastModifiedBy>A姬艳丽</cp:lastModifiedBy>
  <cp:lastPrinted>2022-06-29T18:38:00Z</cp:lastPrinted>
  <dcterms:modified xsi:type="dcterms:W3CDTF">2022-07-06T10:53:34Z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9EAF3DBFCCD446D7A1E0C40C6C9CA5B7</vt:lpwstr>
  </property>
</Properties>
</file>