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bookmarkStart w:id="1" w:name="_GoBack"/>
      <w:r>
        <w:rPr>
          <w:rFonts w:hint="eastAsia" w:ascii="方正小标宋简体" w:eastAsia="方正小标宋简体"/>
          <w:sz w:val="44"/>
          <w:szCs w:val="44"/>
        </w:rPr>
        <w:t>深圳市商务</w:t>
      </w:r>
      <w:r>
        <w:rPr>
          <w:rFonts w:hint="eastAsia" w:ascii="方正小标宋简体" w:eastAsia="方正小标宋简体"/>
          <w:color w:val="000000" w:themeColor="text1"/>
          <w:sz w:val="44"/>
          <w:szCs w:val="44"/>
          <w14:textFill>
            <w14:solidFill>
              <w14:schemeClr w14:val="tx1"/>
            </w14:solidFill>
          </w14:textFill>
        </w:rPr>
        <w:t>局</w:t>
      </w:r>
      <w:r>
        <w:rPr>
          <w:rFonts w:hint="eastAsia" w:ascii="方正小标宋简体" w:eastAsia="方正小标宋简体"/>
          <w:sz w:val="44"/>
          <w:szCs w:val="44"/>
        </w:rPr>
        <w:t>202</w:t>
      </w:r>
      <w:r>
        <w:rPr>
          <w:rFonts w:ascii="方正小标宋简体" w:eastAsia="方正小标宋简体"/>
          <w:sz w:val="44"/>
          <w:szCs w:val="44"/>
        </w:rPr>
        <w:t>2</w:t>
      </w:r>
      <w:r>
        <w:rPr>
          <w:rFonts w:hint="eastAsia" w:ascii="方正小标宋简体" w:eastAsia="方正小标宋简体"/>
          <w:color w:val="000000" w:themeColor="text1"/>
          <w:sz w:val="44"/>
          <w:szCs w:val="44"/>
          <w14:textFill>
            <w14:solidFill>
              <w14:schemeClr w14:val="tx1"/>
            </w14:solidFill>
          </w14:textFill>
        </w:rPr>
        <w:t>年度中</w:t>
      </w:r>
      <w:r>
        <w:rPr>
          <w:rFonts w:hint="eastAsia" w:ascii="方正小标宋简体" w:eastAsia="方正小标宋简体"/>
          <w:sz w:val="44"/>
          <w:szCs w:val="44"/>
        </w:rPr>
        <w:t>央外经贸发展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专项资金（服务贸易事项）申报指南</w:t>
      </w:r>
    </w:p>
    <w:bookmarkEnd w:id="1"/>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（一）创新发展服务贸易。</w:t>
      </w:r>
      <w:r>
        <w:rPr>
          <w:rFonts w:hint="eastAsia" w:ascii="仿宋_GB2312" w:eastAsia="仿宋_GB2312"/>
          <w:sz w:val="32"/>
          <w:szCs w:val="32"/>
        </w:rPr>
        <w:t>鼓励服务贸易创新发展试点地区进口国内急需的技术密集型、知识密集型服务。支持企业承接国际服务外包业务，扩大技术及技术服务出口。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承接国际服务外包业务是指我市企业或其境外分支机构与境外客户签订服务外包合同，向境外客户提供国际（离岸）外包服务并取得收入的业务活动。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技术及技术服务出口是指我市企业通过贸易、投资或经济技术合作方式向境外实施的专利权转让、专利申请权转让、专利实施许可、专有技术转让或许可等技术转移，以及技术转让或许可合同项下提供的技术服务。</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（二）支持我市服务贸易和服务外包公共服务平台建设运营。</w:t>
      </w:r>
      <w:r>
        <w:rPr>
          <w:rFonts w:hint="eastAsia" w:ascii="仿宋_GB2312" w:eastAsia="仿宋_GB2312"/>
          <w:sz w:val="32"/>
          <w:szCs w:val="32"/>
        </w:rPr>
        <w:t>加强公共服务平台资源的统筹利用、区域协同，支持平台为我市服务贸易企业提供共性资源要素支撑、信息共享及云服务、检验检测、知识产权、贸易促进、品牌及宣传推广、专业培训等公共服务。</w:t>
      </w:r>
    </w:p>
    <w:p>
      <w:pPr>
        <w:spacing w:line="560" w:lineRule="exact"/>
        <w:ind w:firstLine="640" w:firstLineChars="200"/>
        <w:rPr>
          <w:rFonts w:ascii="楷体_GB2312" w:hAnsi="楷体_GB2312" w:eastAsia="楷体_GB2312" w:cs="楷体_GB2312"/>
          <w:b/>
          <w:bCs/>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1.《财政部</w:t>
      </w:r>
      <w:r>
        <w:rPr>
          <w:rFonts w:ascii="仿宋_GB2312" w:eastAsia="仿宋_GB2312"/>
          <w:sz w:val="32"/>
          <w:szCs w:val="32"/>
        </w:rPr>
        <w:t>办公厅</w:t>
      </w:r>
      <w:r>
        <w:rPr>
          <w:rFonts w:hint="eastAsia" w:ascii="仿宋_GB2312" w:eastAsia="仿宋_GB2312"/>
          <w:sz w:val="32"/>
          <w:szCs w:val="32"/>
        </w:rPr>
        <w:t xml:space="preserve"> 商务部</w:t>
      </w:r>
      <w:r>
        <w:rPr>
          <w:rFonts w:ascii="仿宋_GB2312" w:eastAsia="仿宋_GB2312"/>
          <w:sz w:val="32"/>
          <w:szCs w:val="32"/>
        </w:rPr>
        <w:t>办公厅</w:t>
      </w:r>
      <w:r>
        <w:rPr>
          <w:rFonts w:hint="eastAsia" w:ascii="仿宋_GB2312" w:eastAsia="仿宋_GB2312"/>
          <w:sz w:val="32"/>
          <w:szCs w:val="32"/>
        </w:rPr>
        <w:t>关于202</w:t>
      </w:r>
      <w:r>
        <w:rPr>
          <w:rFonts w:ascii="仿宋_GB2312" w:eastAsia="仿宋_GB2312"/>
          <w:sz w:val="32"/>
          <w:szCs w:val="32"/>
        </w:rPr>
        <w:t>2</w:t>
      </w:r>
      <w:r>
        <w:rPr>
          <w:rFonts w:hint="eastAsia" w:ascii="仿宋_GB2312" w:eastAsia="仿宋_GB2312"/>
          <w:sz w:val="32"/>
          <w:szCs w:val="32"/>
        </w:rPr>
        <w:t>年度外经贸发展专项资金重点工作的通知》（财建〔202</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2.商务部 发展改革委 财政部 生态环境部 知识产权局《鼓励进口服务目录》（2019年第14号公告）。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1.《财政部 商务部关于印发〈外经贸发展专项资金管理办法〉的通知》（财</w:t>
      </w:r>
      <w:r>
        <w:rPr>
          <w:rFonts w:ascii="仿宋_GB2312" w:eastAsia="仿宋_GB2312"/>
          <w:sz w:val="32"/>
          <w:szCs w:val="32"/>
        </w:rPr>
        <w:t>建</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〕3号）。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widowControl/>
        <w:shd w:val="clear" w:color="auto" w:fill="FFFFFF"/>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w:t>
      </w:r>
      <w:r>
        <w:rPr>
          <w:rFonts w:ascii="仿宋_GB2312" w:hAnsi="仿宋_GB2312" w:eastAsia="仿宋_GB2312" w:cs="宋体"/>
          <w:kern w:val="0"/>
          <w:sz w:val="32"/>
          <w:szCs w:val="32"/>
        </w:rPr>
        <w:t>据以</w:t>
      </w:r>
      <w:r>
        <w:rPr>
          <w:rFonts w:hint="eastAsia" w:ascii="仿宋_GB2312" w:hAnsi="仿宋_GB2312" w:eastAsia="仿宋_GB2312" w:cs="宋体"/>
          <w:kern w:val="0"/>
          <w:sz w:val="32"/>
          <w:szCs w:val="32"/>
        </w:rPr>
        <w:t>对资助金额、支持比例和拨付进度等进行统一调整，申</w:t>
      </w:r>
      <w:r>
        <w:rPr>
          <w:rFonts w:ascii="仿宋_GB2312" w:hAnsi="仿宋_GB2312" w:eastAsia="仿宋_GB2312" w:cs="宋体"/>
          <w:kern w:val="0"/>
          <w:sz w:val="32"/>
          <w:szCs w:val="32"/>
        </w:rPr>
        <w:t>报</w:t>
      </w:r>
      <w:r>
        <w:rPr>
          <w:rFonts w:hint="eastAsia" w:ascii="仿宋_GB2312" w:hAnsi="仿宋_GB2312" w:eastAsia="仿宋_GB2312" w:cs="宋体"/>
          <w:kern w:val="0"/>
          <w:sz w:val="32"/>
          <w:szCs w:val="32"/>
        </w:rPr>
        <w:t>单位应无条件同意调整结果。</w:t>
      </w:r>
    </w:p>
    <w:p>
      <w:pPr>
        <w:widowControl/>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事后资助。</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eastAsia="仿宋_GB2312"/>
          <w:sz w:val="32"/>
          <w:szCs w:val="32"/>
        </w:rPr>
        <w:t>申报单位为</w:t>
      </w:r>
      <w:r>
        <w:rPr>
          <w:rFonts w:hint="eastAsia" w:ascii="仿宋_GB2312" w:hAnsi="仿宋_GB2312" w:eastAsia="仿宋_GB2312"/>
          <w:sz w:val="32"/>
          <w:szCs w:val="32"/>
        </w:rPr>
        <w:t>在深圳市行政区域内依法登记注册，具有独立法人资格的企业、社会组织。</w:t>
      </w:r>
      <w:r>
        <w:rPr>
          <w:rFonts w:hint="eastAsia" w:ascii="仿宋_GB2312" w:hAnsi="仿宋_GB2312" w:eastAsia="仿宋_GB2312" w:cs="仿宋_GB2312"/>
          <w:sz w:val="32"/>
          <w:szCs w:val="32"/>
        </w:rPr>
        <w:t>其中在境外开展业务的，还应当已在项目所在国（地区）依法注册或办理合法手续，项目合同或合作协议已生效。</w:t>
      </w:r>
    </w:p>
    <w:p>
      <w:pPr>
        <w:wordWrap w:val="0"/>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2.申报单位需按照国家统计法律法规及服务贸易、服务外包、技术进出口相关统计制度要求，登陆商务部网站，及时、</w:t>
      </w:r>
      <w:r>
        <w:rPr>
          <w:rFonts w:hint="eastAsia" w:ascii="仿宋_GB2312" w:hAnsi="仿宋_GB2312" w:eastAsia="仿宋_GB2312" w:cs="仿宋_GB2312"/>
          <w:sz w:val="32"/>
          <w:szCs w:val="32"/>
        </w:rPr>
        <w:t>全面、真实进行相关业务登记和填报相关统计报表（服务贸易统计监测管理业务应用：http://fwmyzb.mofcom.gov.cn/；服务外包及软件出口信息管理应用系统：http://fwwbqy.fwmys.mofcom.gov.cn；技术贸易管理信息应用：https://ecomp.mofcom.gov.cn/pages/login/QuicklyLoginBase.html）。</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申报单位</w:t>
      </w:r>
      <w:r>
        <w:rPr>
          <w:rFonts w:hint="eastAsia" w:ascii="仿宋_GB2312" w:hAnsi="仿宋_GB2312" w:eastAsia="仿宋_GB2312" w:cs="仿宋_GB2312"/>
          <w:sz w:val="32"/>
          <w:szCs w:val="32"/>
        </w:rPr>
        <w:t>未被国家、省、市</w:t>
      </w:r>
      <w:r>
        <w:rPr>
          <w:rFonts w:ascii="仿宋_GB2312" w:hAnsi="仿宋_GB2312" w:eastAsia="仿宋_GB2312" w:cs="仿宋_GB2312"/>
          <w:sz w:val="32"/>
          <w:szCs w:val="32"/>
        </w:rPr>
        <w:t>有关部门列入严重失信主体名单实施失信惩戒，明确限制申请财政性资金项目，且在限制期内</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sz w:val="32"/>
          <w:szCs w:val="32"/>
        </w:rPr>
        <w:t>4.申报单位</w:t>
      </w:r>
      <w:r>
        <w:rPr>
          <w:rFonts w:hint="eastAsia" w:ascii="仿宋_GB2312" w:eastAsia="仿宋_GB2312"/>
          <w:sz w:val="32"/>
          <w:szCs w:val="32"/>
        </w:rPr>
        <w:t>近</w:t>
      </w:r>
      <w:r>
        <w:rPr>
          <w:rFonts w:ascii="仿宋_GB2312" w:eastAsia="仿宋_GB2312"/>
          <w:sz w:val="32"/>
          <w:szCs w:val="32"/>
        </w:rPr>
        <w:t>三</w:t>
      </w:r>
      <w:r>
        <w:rPr>
          <w:rFonts w:hint="eastAsia" w:ascii="仿宋_GB2312" w:eastAsia="仿宋_GB2312"/>
          <w:sz w:val="32"/>
          <w:szCs w:val="32"/>
        </w:rPr>
        <w:t>年</w:t>
      </w:r>
      <w:r>
        <w:rPr>
          <w:rFonts w:ascii="仿宋_GB2312" w:eastAsia="仿宋_GB2312"/>
          <w:sz w:val="32"/>
          <w:szCs w:val="32"/>
        </w:rPr>
        <w:t>不存在</w:t>
      </w:r>
      <w:r>
        <w:rPr>
          <w:rFonts w:hint="eastAsia" w:ascii="仿宋_GB2312" w:eastAsia="仿宋_GB2312"/>
          <w:sz w:val="32"/>
          <w:szCs w:val="32"/>
        </w:rPr>
        <w:t>严重违法违规行为，未拖欠应缴还</w:t>
      </w:r>
      <w:r>
        <w:rPr>
          <w:rFonts w:ascii="仿宋_GB2312" w:eastAsia="仿宋_GB2312"/>
          <w:sz w:val="32"/>
          <w:szCs w:val="32"/>
        </w:rPr>
        <w:t>的</w:t>
      </w:r>
      <w:r>
        <w:rPr>
          <w:rFonts w:hint="eastAsia" w:ascii="仿宋_GB2312" w:eastAsia="仿宋_GB2312"/>
          <w:sz w:val="32"/>
          <w:szCs w:val="32"/>
        </w:rPr>
        <w:t>财政性资金</w:t>
      </w:r>
      <w:r>
        <w:rPr>
          <w:rFonts w:ascii="仿宋_GB2312" w:eastAsia="仿宋_GB2312"/>
          <w:sz w:val="32"/>
          <w:szCs w:val="32"/>
        </w:rPr>
        <w:t>。</w:t>
      </w:r>
    </w:p>
    <w:p>
      <w:pPr>
        <w:widowControl/>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w:t>
      </w:r>
      <w:r>
        <w:rPr>
          <w:rFonts w:ascii="仿宋_GB2312" w:hAnsi="仿宋_GB2312" w:eastAsia="仿宋_GB2312"/>
          <w:sz w:val="32"/>
          <w:szCs w:val="32"/>
        </w:rPr>
        <w:t>申报单位应承担资金真实申报、合规使用和有效管理；应对申报材料的真实性、合法性、完整性负责，应如实提供本单位信用状况，承担违约责任并作出承诺，不得弄虚作假、套取、骗取财政资金。</w:t>
      </w:r>
    </w:p>
    <w:p>
      <w:pPr>
        <w:widowControl/>
        <w:spacing w:line="560" w:lineRule="exact"/>
        <w:ind w:firstLine="640" w:firstLineChars="200"/>
        <w:rPr>
          <w:rFonts w:ascii="仿宋_GB2312" w:hAnsi="仿宋_GB2312" w:eastAsia="仿宋_GB2312"/>
          <w:sz w:val="32"/>
          <w:szCs w:val="32"/>
        </w:rPr>
      </w:pPr>
      <w:r>
        <w:rPr>
          <w:rFonts w:hint="default" w:ascii="仿宋_GB2312" w:hAnsi="仿宋_GB2312" w:eastAsia="仿宋_GB2312"/>
          <w:sz w:val="32"/>
          <w:szCs w:val="32"/>
        </w:rPr>
        <w:t>6</w:t>
      </w:r>
      <w:r>
        <w:rPr>
          <w:rFonts w:ascii="仿宋_GB2312" w:hAnsi="仿宋_GB2312" w:eastAsia="仿宋_GB2312"/>
          <w:sz w:val="32"/>
          <w:szCs w:val="32"/>
        </w:rPr>
        <w:t>.申报项目未以</w:t>
      </w:r>
      <w:r>
        <w:rPr>
          <w:rFonts w:hint="eastAsia" w:ascii="仿宋_GB2312" w:hAnsi="仿宋_GB2312" w:eastAsia="仿宋_GB2312"/>
          <w:sz w:val="32"/>
          <w:szCs w:val="32"/>
        </w:rPr>
        <w:t>同一事项</w:t>
      </w:r>
      <w:r>
        <w:rPr>
          <w:rFonts w:ascii="仿宋_GB2312" w:hAnsi="仿宋_GB2312" w:eastAsia="仿宋_GB2312"/>
          <w:sz w:val="32"/>
          <w:szCs w:val="32"/>
        </w:rPr>
        <w:t>从其他渠道获得</w:t>
      </w:r>
      <w:r>
        <w:rPr>
          <w:rFonts w:hint="eastAsia" w:ascii="仿宋_GB2312" w:hAnsi="仿宋_GB2312" w:eastAsia="仿宋_GB2312"/>
          <w:sz w:val="32"/>
          <w:szCs w:val="32"/>
        </w:rPr>
        <w:t>中央财政资金</w:t>
      </w:r>
      <w:r>
        <w:rPr>
          <w:rFonts w:ascii="仿宋_GB2312" w:hAnsi="仿宋_GB2312" w:eastAsia="仿宋_GB2312"/>
          <w:sz w:val="32"/>
          <w:szCs w:val="32"/>
        </w:rPr>
        <w:t>支持。</w:t>
      </w:r>
    </w:p>
    <w:p>
      <w:pPr>
        <w:widowControl/>
        <w:spacing w:line="560" w:lineRule="exact"/>
        <w:ind w:firstLine="640" w:firstLineChars="200"/>
        <w:rPr>
          <w:rFonts w:ascii="仿宋_GB2312" w:hAnsi="宋体" w:eastAsia="仿宋_GB2312" w:cs="宋体"/>
          <w:kern w:val="0"/>
          <w:sz w:val="32"/>
          <w:szCs w:val="32"/>
        </w:rPr>
      </w:pPr>
      <w:r>
        <w:rPr>
          <w:rFonts w:hint="default" w:ascii="仿宋_GB2312" w:eastAsia="仿宋_GB2312"/>
          <w:sz w:val="32"/>
          <w:szCs w:val="32"/>
        </w:rPr>
        <w:t>7</w:t>
      </w:r>
      <w:r>
        <w:rPr>
          <w:rFonts w:hint="eastAsia" w:ascii="仿宋_GB2312" w:eastAsia="仿宋_GB2312"/>
          <w:sz w:val="32"/>
          <w:szCs w:val="32"/>
        </w:rPr>
        <w:t>.</w:t>
      </w:r>
      <w:r>
        <w:rPr>
          <w:rFonts w:hint="eastAsia" w:ascii="仿宋_GB2312" w:hAnsi="楷体_GB2312" w:eastAsia="仿宋_GB2312" w:cs="楷体_GB2312"/>
          <w:sz w:val="32"/>
          <w:szCs w:val="32"/>
        </w:rPr>
        <w:t>项目发生时间在各资金申请项目要求的期限内</w:t>
      </w:r>
      <w:r>
        <w:rPr>
          <w:rFonts w:hint="eastAsia" w:ascii="仿宋_GB2312" w:hAnsi="宋体" w:eastAsia="仿宋_GB2312" w:cs="宋体"/>
          <w:kern w:val="0"/>
          <w:sz w:val="32"/>
          <w:szCs w:val="32"/>
        </w:rPr>
        <w:t>。</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overflowPunct w:val="0"/>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1.提升公共服务能力</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在我市范围内成立的服务贸易和服务外包公共服务平台。</w:t>
      </w:r>
    </w:p>
    <w:p>
      <w:pPr>
        <w:overflowPunct w:val="0"/>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2.重点服务进口</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（1）企业进口的服务应当列入商务部、发展改革委、财政部、生态环境部、知识产权局发布的《鼓励进口服务目录》（2019版）。</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（2）进口服务应当在</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年6月30日期间执行合同，并取得银行出具的进口服务付汇凭证，且付汇金额不低于50万美元（须在商务部业务系统填报数据）。</w:t>
      </w:r>
    </w:p>
    <w:p>
      <w:pPr>
        <w:overflowPunct w:val="0"/>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3.技术出口业务</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企业通过贸易、投资或经济技术合作方式向境外实施的专利权转让、专利申请权转让、专利实施许可、专有技术转让或许可等技术转移，以及技术转让或许可合同项下提供的技术服务。不包括《中国禁止出口限制出口技术目录》（商务部、科技部令 2008年第12号）及《中国禁止出口限制出口技术目录》调整内容（商务部、科技部公告2020年第38号）所列的出口技术。</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（2）根据《中华人民共和国技术进出口管理条例》（国务院令第331号），已在商务部“服务贸易统计监测管理信息系统”（技术贸易管理信息应用）中登记</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年6月30日期间</w:t>
      </w:r>
      <w:r>
        <w:rPr>
          <w:rFonts w:hint="eastAsia" w:ascii="仿宋_GB2312" w:hAnsi="宋体" w:eastAsia="仿宋_GB2312"/>
          <w:sz w:val="32"/>
          <w:szCs w:val="32"/>
        </w:rPr>
        <w:t>的实际出口额。</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（3）出口的技术应当在</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年6月30日期间执行合同,并</w:t>
      </w:r>
      <w:r>
        <w:rPr>
          <w:rFonts w:hint="eastAsia" w:ascii="仿宋_GB2312" w:hAnsi="宋体" w:eastAsia="仿宋_GB2312"/>
          <w:sz w:val="32"/>
          <w:szCs w:val="32"/>
        </w:rPr>
        <w:t>取得银行出具的收汇凭证，且企业的技术出口收汇额不低于50万美元</w:t>
      </w:r>
      <w:r>
        <w:rPr>
          <w:rFonts w:hint="eastAsia" w:ascii="仿宋_GB2312" w:eastAsia="仿宋_GB2312"/>
          <w:sz w:val="32"/>
        </w:rPr>
        <w:t>（须在商务部业务系统填报数据）</w:t>
      </w:r>
      <w:r>
        <w:rPr>
          <w:rFonts w:hint="eastAsia" w:ascii="仿宋_GB2312" w:hAnsi="宋体" w:eastAsia="仿宋_GB2312"/>
          <w:sz w:val="32"/>
          <w:szCs w:val="32"/>
        </w:rPr>
        <w:t>。</w:t>
      </w:r>
    </w:p>
    <w:p>
      <w:pPr>
        <w:overflowPunct w:val="0"/>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4.承接国际服务外包业务</w:t>
      </w:r>
    </w:p>
    <w:p>
      <w:pPr>
        <w:overflowPunct w:val="0"/>
        <w:adjustRightInd w:val="0"/>
        <w:snapToGrid w:val="0"/>
        <w:spacing w:line="560" w:lineRule="exact"/>
        <w:ind w:firstLine="592" w:firstLineChars="200"/>
        <w:rPr>
          <w:rFonts w:ascii="仿宋_GB2312" w:hAnsi="宋体" w:eastAsia="仿宋_GB2312"/>
          <w:spacing w:val="-12"/>
          <w:sz w:val="32"/>
          <w:szCs w:val="32"/>
        </w:rPr>
      </w:pPr>
      <w:r>
        <w:rPr>
          <w:rFonts w:hint="eastAsia" w:ascii="仿宋_GB2312" w:hAnsi="宋体" w:eastAsia="仿宋_GB2312"/>
          <w:spacing w:val="-12"/>
          <w:sz w:val="32"/>
          <w:szCs w:val="32"/>
        </w:rPr>
        <w:t>（1）服务外包企业应当符合以下条件：</w:t>
      </w:r>
    </w:p>
    <w:p>
      <w:pPr>
        <w:overflowPunct w:val="0"/>
        <w:adjustRightInd w:val="0"/>
        <w:snapToGrid w:val="0"/>
        <w:spacing w:line="560" w:lineRule="exact"/>
        <w:ind w:firstLine="640" w:firstLineChars="200"/>
        <w:rPr>
          <w:rFonts w:ascii="仿宋_GB2312" w:hAnsi="宋体" w:eastAsia="仿宋_GB2312"/>
          <w:b/>
          <w:spacing w:val="-12"/>
          <w:sz w:val="32"/>
          <w:szCs w:val="32"/>
        </w:rPr>
      </w:pPr>
      <w:r>
        <w:rPr>
          <w:rFonts w:hint="eastAsia" w:ascii="仿宋_GB2312" w:hAnsi="宋体" w:eastAsia="仿宋_GB2312"/>
          <w:sz w:val="32"/>
          <w:szCs w:val="32"/>
        </w:rPr>
        <w:t>①企业通过商务部业务系统统一平台“服务外包信息管理应用”如实填报《服务外包统计调查制度》规定的报表。</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②以“服务外包信息管理应用”核准的实际执行额为依据，</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年6月30日期间</w:t>
      </w:r>
      <w:r>
        <w:rPr>
          <w:rFonts w:hint="eastAsia" w:ascii="仿宋_GB2312" w:hAnsi="宋体" w:eastAsia="仿宋_GB2312"/>
          <w:sz w:val="32"/>
          <w:szCs w:val="32"/>
        </w:rPr>
        <w:t>的国际服务外包执行额不低于100万美元。</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黑体" w:eastAsia="仿宋_GB2312"/>
          <w:sz w:val="32"/>
          <w:szCs w:val="32"/>
        </w:rPr>
        <w:t>（2）服务外包</w:t>
      </w:r>
      <w:r>
        <w:rPr>
          <w:rFonts w:hint="eastAsia" w:ascii="仿宋_GB2312" w:hAnsi="宋体" w:eastAsia="仿宋_GB2312"/>
          <w:sz w:val="32"/>
          <w:szCs w:val="32"/>
        </w:rPr>
        <w:t>培训机构应具有符合条件的场地、设施、专业教材和师资力量。</w:t>
      </w:r>
    </w:p>
    <w:p>
      <w:pPr>
        <w:tabs>
          <w:tab w:val="center" w:pos="4153"/>
        </w:tabs>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支持内容主要包括提升公共服务能力、重点服务进口、</w:t>
      </w:r>
      <w:r>
        <w:rPr>
          <w:rFonts w:hint="eastAsia" w:ascii="仿宋_GB2312" w:hAnsi="宋体" w:eastAsia="仿宋_GB2312"/>
          <w:spacing w:val="-12"/>
          <w:sz w:val="32"/>
          <w:szCs w:val="32"/>
        </w:rPr>
        <w:t>技术出口业务和承接国际服务外包业务（包括</w:t>
      </w:r>
      <w:r>
        <w:rPr>
          <w:rFonts w:hint="eastAsia" w:ascii="仿宋_GB2312" w:hAnsi="宋体" w:eastAsia="仿宋_GB2312"/>
          <w:sz w:val="32"/>
          <w:szCs w:val="32"/>
        </w:rPr>
        <w:t>取得国际通行的资质认证、离岸服务外包贴息、服务外包人才培训）。</w:t>
      </w:r>
    </w:p>
    <w:p>
      <w:pPr>
        <w:numPr>
          <w:ilvl w:val="0"/>
          <w:numId w:val="1"/>
        </w:num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提升公共服务能力</w:t>
      </w:r>
    </w:p>
    <w:p>
      <w:pPr>
        <w:overflowPunct w:val="0"/>
        <w:adjustRightInd w:val="0"/>
        <w:snapToGrid w:val="0"/>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支持内容：</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我市企业和社会机构建设和维护服务贸易和服务外包公共服务平台。突出公共服务功能，提高服务企业水平，支持建设一批公共服务能力强、覆盖范围广、定位明确、特色鲜明、示范引领效应好的公共服务平台。支持公共服务平台为我市服务贸易企业和机构提供</w:t>
      </w:r>
      <w:r>
        <w:rPr>
          <w:rFonts w:hint="eastAsia" w:ascii="仿宋_GB2312" w:eastAsia="仿宋_GB2312"/>
          <w:sz w:val="32"/>
          <w:szCs w:val="32"/>
        </w:rPr>
        <w:t>共性资源要素支撑、信息共享及云服务、检验检测、知识产权、贸易促进、品牌及宣传推广、专业培训等公共服务</w:t>
      </w:r>
      <w:r>
        <w:rPr>
          <w:rFonts w:hint="eastAsia" w:ascii="仿宋_GB2312" w:hAnsi="宋体" w:eastAsia="仿宋_GB2312"/>
          <w:sz w:val="32"/>
          <w:szCs w:val="32"/>
        </w:rPr>
        <w:t>。对符合条件的新建公共服务平台建设费用、维护完善现有平台所需运营费用给予支持。</w:t>
      </w:r>
    </w:p>
    <w:p>
      <w:pPr>
        <w:numPr>
          <w:ilvl w:val="255"/>
          <w:numId w:val="0"/>
        </w:numPr>
        <w:overflowPunct w:val="0"/>
        <w:adjustRightInd w:val="0"/>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给予202</w:t>
      </w:r>
      <w:r>
        <w:rPr>
          <w:rFonts w:ascii="仿宋_GB2312" w:hAnsi="宋体" w:eastAsia="仿宋_GB2312"/>
          <w:sz w:val="32"/>
          <w:szCs w:val="32"/>
        </w:rPr>
        <w:t>1</w:t>
      </w:r>
      <w:r>
        <w:rPr>
          <w:rFonts w:hint="eastAsia" w:ascii="仿宋_GB2312" w:hAnsi="宋体" w:eastAsia="仿宋_GB2312"/>
          <w:sz w:val="32"/>
          <w:szCs w:val="32"/>
        </w:rPr>
        <w:t>年度一次性不超过实际建设费用50%、总额不超过150万元人民币的建设费支持，实际运营费用50%、总额不超过50万元人民币的运营费支持。建设费主要包括公共服务平台所需生产性设备购置、信息系统、信息安全及知识产权保护体系建设费用；运营费包含生产性设备运营费、信息系统、信息安全及知识产权保护体系运营费用。</w:t>
      </w:r>
    </w:p>
    <w:p>
      <w:pPr>
        <w:numPr>
          <w:ilvl w:val="255"/>
          <w:numId w:val="0"/>
        </w:num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（二）重点服务进口</w:t>
      </w:r>
    </w:p>
    <w:p>
      <w:pPr>
        <w:numPr>
          <w:ilvl w:val="255"/>
          <w:numId w:val="0"/>
        </w:num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支持企业扩大鼓励进口服务，对重点服务进口企业实际服务进口额给予贴息支持。</w:t>
      </w:r>
    </w:p>
    <w:p>
      <w:pPr>
        <w:numPr>
          <w:ilvl w:val="255"/>
          <w:numId w:val="0"/>
        </w:numPr>
        <w:overflowPunct w:val="0"/>
        <w:adjustRightInd w:val="0"/>
        <w:snapToGrid w:val="0"/>
        <w:spacing w:line="560" w:lineRule="exact"/>
        <w:ind w:firstLine="643" w:firstLineChars="200"/>
        <w:rPr>
          <w:rFonts w:ascii="仿宋_GB2312" w:hAnsi="宋体" w:eastAsia="仿宋_GB2312"/>
          <w:bCs/>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以审定通过的</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年6月30日期间</w:t>
      </w:r>
      <w:r>
        <w:rPr>
          <w:rFonts w:hint="eastAsia" w:ascii="仿宋_GB2312" w:hAnsi="宋体" w:eastAsia="仿宋_GB2312"/>
          <w:sz w:val="32"/>
          <w:szCs w:val="32"/>
        </w:rPr>
        <w:t>取得付汇凭证的服务进口业务，以进口服务的付汇金额（折算为人民币）作为计算贴息的本金，按照不超过中国人民银行公布的202</w:t>
      </w:r>
      <w:r>
        <w:rPr>
          <w:rFonts w:ascii="仿宋_GB2312" w:hAnsi="宋体" w:eastAsia="仿宋_GB2312"/>
          <w:sz w:val="32"/>
          <w:szCs w:val="32"/>
        </w:rPr>
        <w:t>2</w:t>
      </w:r>
      <w:r>
        <w:rPr>
          <w:rFonts w:hint="eastAsia" w:ascii="仿宋_GB2312" w:hAnsi="宋体" w:eastAsia="仿宋_GB2312"/>
          <w:sz w:val="32"/>
          <w:szCs w:val="32"/>
        </w:rPr>
        <w:t>年6月30日前最近一期人民币1年期贷款市场报价利率（LPR）给予贴息支持。单家企业贴息金额不超过500万元人民币。</w:t>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（三）技术出口业务</w:t>
      </w:r>
    </w:p>
    <w:p>
      <w:pPr>
        <w:numPr>
          <w:ilvl w:val="255"/>
          <w:numId w:val="0"/>
        </w:num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支持企业扩大技术出口，对技术出口企业实际取得的技术出口额给予贴息支持。</w:t>
      </w:r>
    </w:p>
    <w:p>
      <w:pPr>
        <w:overflowPunct w:val="0"/>
        <w:adjustRightInd w:val="0"/>
        <w:snapToGrid w:val="0"/>
        <w:spacing w:line="560" w:lineRule="exact"/>
        <w:ind w:firstLine="643" w:firstLineChars="200"/>
        <w:rPr>
          <w:rFonts w:ascii="仿宋_GB2312" w:hAnsi="宋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以审定通过的</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w:t>
      </w:r>
      <w:r>
        <w:rPr>
          <w:rFonts w:hint="eastAsia" w:ascii="仿宋_GB2312" w:hAnsi="宋体" w:eastAsia="仿宋_GB2312"/>
          <w:sz w:val="32"/>
          <w:szCs w:val="32"/>
        </w:rPr>
        <w:t>期间企业取得的技术出口收汇金额（折算为人民币）作为计算贴息的本金，按照不超过中国人民银行公布的202</w:t>
      </w:r>
      <w:r>
        <w:rPr>
          <w:rFonts w:ascii="仿宋_GB2312" w:hAnsi="宋体" w:eastAsia="仿宋_GB2312"/>
          <w:sz w:val="32"/>
          <w:szCs w:val="32"/>
        </w:rPr>
        <w:t>2</w:t>
      </w:r>
      <w:r>
        <w:rPr>
          <w:rFonts w:hint="eastAsia" w:ascii="仿宋_GB2312" w:hAnsi="宋体" w:eastAsia="仿宋_GB2312"/>
          <w:sz w:val="32"/>
          <w:szCs w:val="32"/>
        </w:rPr>
        <w:t>年6月30日前最近一期1年期贷款市场报价利率（LPR）给予贴息支持。单家企业贴息金额不超过500万元人民币。</w:t>
      </w:r>
    </w:p>
    <w:p>
      <w:pPr>
        <w:overflowPunct w:val="0"/>
        <w:adjustRightInd w:val="0"/>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备注：申请技术出口业务资金支持的，不得重复申请离岸服务外包贴息支持。</w:t>
      </w:r>
    </w:p>
    <w:p>
      <w:p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（四）承接国际服务外包业务</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对每个符合条件的申请企业资金支持不超过500万元人民币，对每个符合条件的申请培训机构资金支持不超过100万元人民币。</w:t>
      </w:r>
    </w:p>
    <w:p>
      <w:pPr>
        <w:overflowPunct w:val="0"/>
        <w:adjustRightInd w:val="0"/>
        <w:snapToGrid w:val="0"/>
        <w:spacing w:line="560" w:lineRule="exact"/>
        <w:ind w:firstLine="595" w:firstLineChars="200"/>
        <w:rPr>
          <w:rFonts w:ascii="仿宋_GB2312" w:hAnsi="宋体" w:eastAsia="仿宋_GB2312"/>
          <w:b/>
          <w:spacing w:val="-12"/>
          <w:sz w:val="32"/>
          <w:szCs w:val="32"/>
        </w:rPr>
      </w:pPr>
      <w:r>
        <w:rPr>
          <w:rFonts w:hint="eastAsia" w:ascii="仿宋_GB2312" w:hAnsi="宋体" w:eastAsia="仿宋_GB2312"/>
          <w:b/>
          <w:spacing w:val="-12"/>
          <w:sz w:val="32"/>
          <w:szCs w:val="32"/>
        </w:rPr>
        <w:t>1.取得国际通行的资质认证</w:t>
      </w:r>
    </w:p>
    <w:p>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支持服务外包企业取得国际通行的资质认证，对国际资质认定费用给予支持。</w:t>
      </w:r>
    </w:p>
    <w:p>
      <w:pPr>
        <w:wordWrap w:val="0"/>
        <w:overflowPunct w:val="0"/>
        <w:adjustRightInd w:val="0"/>
        <w:snapToGrid w:val="0"/>
        <w:spacing w:line="560" w:lineRule="exact"/>
        <w:ind w:firstLine="643" w:firstLineChars="200"/>
        <w:rPr>
          <w:rFonts w:ascii="仿宋_GB2312" w:hAnsi="宋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宋体" w:eastAsia="仿宋_GB2312"/>
          <w:sz w:val="32"/>
          <w:szCs w:val="32"/>
        </w:rPr>
        <w:t>对服务外包企业在</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w:t>
      </w:r>
      <w:r>
        <w:rPr>
          <w:rFonts w:hint="eastAsia" w:ascii="仿宋_GB2312" w:hAnsi="宋体" w:eastAsia="仿宋_GB2312"/>
          <w:sz w:val="32"/>
          <w:szCs w:val="32"/>
        </w:rPr>
        <w:t>期间内取得的软件能力成熟度模型（CMM/CMMI）、人力资本成熟度模型（PCMM）、信息安全管理（ISO27001／BS7799）、IT服务管理（ISO20000）、服务机构控制体系（SOC1）及质量管理标准（ISO9001）、国际实验动物评估和认可委员会认证（AAALAC）、药物非临床研究质量管理规范（GLP）、信息技术基础架构库（ITIL）、客户服务提供商标准（COPC）、环球同业银行金融电讯协会结算系统（SWIFT）、业务连续性管理标准（ISO22301）、环境管理体系（ISO14001）、能源管理体系（ISO50001）、职业健康安全管理体系（OHSAS18001）、客户中心能力成熟度模型（CC-CMM）、支付卡行业数据安全标准（PCI</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DSS）、实验室管理标准（ISO17025）、信息技术服务标准（ITSS）、汽车电子功能安全标准（ISO26262）等国际通行的资质认证及认证的系列维护、升级费用，给予不超过实际发生额50%、总额不超过50万元人民币的标准支持。</w:t>
      </w:r>
    </w:p>
    <w:p>
      <w:pPr>
        <w:overflowPunct w:val="0"/>
        <w:adjustRightInd w:val="0"/>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2.离岸服务外包贴息</w:t>
      </w:r>
    </w:p>
    <w:p>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鼓励服务外包企业加快发展国际服务外包业务，对服务外包企业实际取得的离岸服务外包收入给予贴息支持。</w:t>
      </w:r>
    </w:p>
    <w:p>
      <w:pPr>
        <w:overflowPunct w:val="0"/>
        <w:adjustRightInd w:val="0"/>
        <w:snapToGrid w:val="0"/>
        <w:spacing w:line="560" w:lineRule="exact"/>
        <w:ind w:firstLine="643" w:firstLineChars="200"/>
        <w:rPr>
          <w:rFonts w:ascii="仿宋_GB2312" w:hAnsi="黑体" w:eastAsia="仿宋_GB2312"/>
          <w:sz w:val="32"/>
          <w:szCs w:val="32"/>
        </w:rPr>
      </w:pPr>
      <w:r>
        <w:rPr>
          <w:rFonts w:hint="eastAsia" w:ascii="仿宋_GB2312" w:hAnsi="楷体_GB2312" w:eastAsia="仿宋_GB2312" w:cs="楷体_GB2312"/>
          <w:b/>
          <w:bCs/>
          <w:sz w:val="32"/>
          <w:szCs w:val="32"/>
        </w:rPr>
        <w:t>支持标准：</w:t>
      </w:r>
      <w:r>
        <w:rPr>
          <w:rFonts w:hint="eastAsia" w:ascii="仿宋_GB2312" w:hAnsi="黑体" w:eastAsia="仿宋_GB2312"/>
          <w:sz w:val="32"/>
          <w:szCs w:val="32"/>
        </w:rPr>
        <w:t>对服务外包企业</w:t>
      </w:r>
      <w:r>
        <w:rPr>
          <w:rFonts w:hint="eastAsia" w:ascii="仿宋_GB2312" w:eastAsia="仿宋_GB2312"/>
          <w:sz w:val="32"/>
        </w:rPr>
        <w:t>202</w:t>
      </w:r>
      <w:r>
        <w:rPr>
          <w:rFonts w:ascii="仿宋_GB2312" w:eastAsia="仿宋_GB2312"/>
          <w:sz w:val="32"/>
        </w:rPr>
        <w:t>1</w:t>
      </w:r>
      <w:r>
        <w:rPr>
          <w:rFonts w:hint="eastAsia" w:ascii="仿宋_GB2312" w:eastAsia="仿宋_GB2312"/>
          <w:sz w:val="32"/>
        </w:rPr>
        <w:t>年7月1日至202</w:t>
      </w:r>
      <w:r>
        <w:rPr>
          <w:rFonts w:ascii="仿宋_GB2312" w:eastAsia="仿宋_GB2312"/>
          <w:sz w:val="32"/>
        </w:rPr>
        <w:t>2</w:t>
      </w:r>
      <w:r>
        <w:rPr>
          <w:rFonts w:hint="eastAsia" w:ascii="仿宋_GB2312" w:eastAsia="仿宋_GB2312"/>
          <w:sz w:val="32"/>
        </w:rPr>
        <w:t>年6月30日</w:t>
      </w:r>
      <w:r>
        <w:rPr>
          <w:rFonts w:hint="eastAsia" w:ascii="仿宋_GB2312" w:hAnsi="宋体" w:eastAsia="仿宋_GB2312"/>
          <w:sz w:val="32"/>
          <w:szCs w:val="32"/>
        </w:rPr>
        <w:t>期间</w:t>
      </w:r>
      <w:r>
        <w:rPr>
          <w:rFonts w:hint="eastAsia" w:ascii="仿宋_GB2312" w:hAnsi="黑体" w:eastAsia="仿宋_GB2312"/>
          <w:sz w:val="32"/>
          <w:szCs w:val="32"/>
        </w:rPr>
        <w:t>实际发生的离岸服务外包业务实际收汇金额（折算为人民币）</w:t>
      </w:r>
      <w:r>
        <w:rPr>
          <w:rFonts w:hint="eastAsia" w:ascii="仿宋_GB2312" w:hAnsi="宋体" w:eastAsia="仿宋_GB2312"/>
          <w:sz w:val="32"/>
          <w:szCs w:val="32"/>
        </w:rPr>
        <w:t>（</w:t>
      </w:r>
      <w:r>
        <w:rPr>
          <w:rFonts w:hint="eastAsia" w:ascii="仿宋_GB2312" w:hAnsi="黑体" w:eastAsia="仿宋_GB2312"/>
          <w:sz w:val="32"/>
          <w:szCs w:val="32"/>
        </w:rPr>
        <w:t>以</w:t>
      </w:r>
      <w:r>
        <w:rPr>
          <w:rFonts w:hint="eastAsia" w:ascii="仿宋_GB2312" w:hAnsi="宋体" w:eastAsia="仿宋_GB2312"/>
          <w:sz w:val="32"/>
          <w:szCs w:val="32"/>
        </w:rPr>
        <w:t>服务外包信息管理应用系统</w:t>
      </w:r>
      <w:r>
        <w:rPr>
          <w:rFonts w:hint="eastAsia" w:ascii="仿宋_GB2312" w:hAnsi="黑体" w:eastAsia="仿宋_GB2312"/>
          <w:sz w:val="32"/>
          <w:szCs w:val="32"/>
        </w:rPr>
        <w:t>核准的离岸执行额同时有相应收汇凭据提交为准</w:t>
      </w:r>
      <w:r>
        <w:rPr>
          <w:rFonts w:hint="eastAsia" w:ascii="仿宋_GB2312" w:hAnsi="宋体" w:eastAsia="仿宋_GB2312"/>
          <w:sz w:val="32"/>
          <w:szCs w:val="32"/>
        </w:rPr>
        <w:t>）</w:t>
      </w:r>
      <w:r>
        <w:rPr>
          <w:rFonts w:hint="eastAsia" w:ascii="仿宋_GB2312" w:hAnsi="黑体" w:eastAsia="仿宋_GB2312"/>
          <w:sz w:val="32"/>
          <w:szCs w:val="32"/>
        </w:rPr>
        <w:t>作为计算贴息的本金，按照不超过中国人民银行公布的202</w:t>
      </w:r>
      <w:r>
        <w:rPr>
          <w:rFonts w:ascii="仿宋_GB2312" w:hAnsi="黑体" w:eastAsia="仿宋_GB2312"/>
          <w:sz w:val="32"/>
          <w:szCs w:val="32"/>
        </w:rPr>
        <w:t>2</w:t>
      </w:r>
      <w:r>
        <w:rPr>
          <w:rFonts w:hint="eastAsia" w:ascii="仿宋_GB2312" w:hAnsi="黑体" w:eastAsia="仿宋_GB2312"/>
          <w:sz w:val="32"/>
          <w:szCs w:val="32"/>
        </w:rPr>
        <w:t>年6月30日前最近一期人民币1年期贷款市场报价利率（LPR）给予贴息支持。</w:t>
      </w:r>
    </w:p>
    <w:p>
      <w:pPr>
        <w:overflowPunct w:val="0"/>
        <w:adjustRightInd w:val="0"/>
        <w:snapToGrid w:val="0"/>
        <w:spacing w:line="560" w:lineRule="exact"/>
        <w:ind w:firstLine="592" w:firstLineChars="200"/>
        <w:rPr>
          <w:rFonts w:ascii="仿宋_GB2312" w:hAnsi="楷体_GB2312" w:eastAsia="仿宋_GB2312" w:cs="楷体_GB2312"/>
          <w:sz w:val="32"/>
          <w:szCs w:val="32"/>
        </w:rPr>
      </w:pPr>
      <w:r>
        <w:rPr>
          <w:rFonts w:hint="eastAsia" w:ascii="仿宋_GB2312" w:hAnsi="宋体" w:eastAsia="仿宋_GB2312"/>
          <w:bCs/>
          <w:spacing w:val="-12"/>
          <w:sz w:val="32"/>
          <w:szCs w:val="32"/>
        </w:rPr>
        <w:t>备注：申请</w:t>
      </w:r>
      <w:r>
        <w:rPr>
          <w:rFonts w:hint="eastAsia" w:ascii="仿宋_GB2312" w:hAnsi="宋体" w:eastAsia="仿宋_GB2312"/>
          <w:bCs/>
          <w:sz w:val="32"/>
          <w:szCs w:val="32"/>
        </w:rPr>
        <w:t>离岸服务外包贴息资金支持的，不得重复申请技术出口业务支持。</w:t>
      </w:r>
    </w:p>
    <w:p>
      <w:pPr>
        <w:overflowPunct w:val="0"/>
        <w:adjustRightInd w:val="0"/>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3.服务外包人才培训</w:t>
      </w:r>
    </w:p>
    <w:p>
      <w:pPr>
        <w:overflowPunct w:val="0"/>
        <w:adjustRightInd w:val="0"/>
        <w:snapToGrid w:val="0"/>
        <w:spacing w:line="56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支持服务外包培训机构开展服务外包人才培训，对培训费用给予支持。</w:t>
      </w:r>
    </w:p>
    <w:p>
      <w:pPr>
        <w:overflowPunct w:val="0"/>
        <w:adjustRightInd w:val="0"/>
        <w:snapToGrid w:val="0"/>
        <w:spacing w:line="560" w:lineRule="exact"/>
        <w:ind w:firstLine="643" w:firstLineChars="200"/>
        <w:rPr>
          <w:rFonts w:ascii="仿宋_GB2312" w:hAnsi="宋体" w:eastAsia="仿宋_GB2312"/>
          <w:bCs/>
          <w:sz w:val="32"/>
          <w:szCs w:val="32"/>
        </w:rPr>
      </w:pPr>
      <w:r>
        <w:rPr>
          <w:rFonts w:hint="eastAsia" w:ascii="仿宋_GB2312" w:hAnsi="楷体_GB2312" w:eastAsia="仿宋_GB2312" w:cs="楷体_GB2312"/>
          <w:b/>
          <w:bCs/>
          <w:sz w:val="32"/>
          <w:szCs w:val="32"/>
        </w:rPr>
        <w:t>支持标准：</w:t>
      </w:r>
      <w:r>
        <w:rPr>
          <w:rFonts w:hint="eastAsia" w:ascii="仿宋_GB2312" w:hAnsi="楷体_GB2312" w:eastAsia="仿宋_GB2312" w:cs="楷体_GB2312"/>
          <w:sz w:val="32"/>
          <w:szCs w:val="32"/>
        </w:rPr>
        <w:t>对服务外包人才培训机构在202</w:t>
      </w:r>
      <w:r>
        <w:rPr>
          <w:rFonts w:ascii="仿宋_GB2312" w:hAnsi="楷体_GB2312" w:eastAsia="仿宋_GB2312" w:cs="楷体_GB2312"/>
          <w:sz w:val="32"/>
          <w:szCs w:val="32"/>
        </w:rPr>
        <w:t>1</w:t>
      </w:r>
      <w:r>
        <w:rPr>
          <w:rFonts w:hint="eastAsia" w:ascii="仿宋_GB2312" w:hAnsi="楷体_GB2312" w:eastAsia="仿宋_GB2312" w:cs="楷体_GB2312"/>
          <w:sz w:val="32"/>
          <w:szCs w:val="32"/>
        </w:rPr>
        <w:t>年7月1日至202</w:t>
      </w:r>
      <w:r>
        <w:rPr>
          <w:rFonts w:ascii="仿宋_GB2312" w:hAnsi="楷体_GB2312" w:eastAsia="仿宋_GB2312" w:cs="楷体_GB2312"/>
          <w:sz w:val="32"/>
          <w:szCs w:val="32"/>
        </w:rPr>
        <w:t>2</w:t>
      </w:r>
      <w:r>
        <w:rPr>
          <w:rFonts w:hint="eastAsia" w:ascii="仿宋_GB2312" w:hAnsi="楷体_GB2312" w:eastAsia="仿宋_GB2312" w:cs="楷体_GB2312"/>
          <w:sz w:val="32"/>
          <w:szCs w:val="32"/>
        </w:rPr>
        <w:t>年6月30日期间培训的大学(含大专)以上学历人员、通过服务外包专业知识和技能培训考核，并与服务外包企业签订1年以上劳动合同的，且自合同签订之日起连续缴纳社保3个月以上的，给予培训机构每人不超过2000元的培训费用支持。</w:t>
      </w:r>
    </w:p>
    <w:p>
      <w:pPr>
        <w:overflowPunct w:val="0"/>
        <w:adjustRightInd w:val="0"/>
        <w:snapToGrid w:val="0"/>
        <w:spacing w:line="560" w:lineRule="exact"/>
        <w:rPr>
          <w:rFonts w:ascii="仿宋_GB2312" w:eastAsia="仿宋_GB2312"/>
          <w:bCs/>
          <w:sz w:val="28"/>
          <w:szCs w:val="28"/>
        </w:rPr>
      </w:pPr>
      <w:r>
        <w:rPr>
          <w:rFonts w:hint="eastAsia" w:ascii="仿宋_GB2312" w:eastAsia="仿宋_GB2312"/>
          <w:bCs/>
          <w:sz w:val="28"/>
          <w:szCs w:val="28"/>
        </w:rPr>
        <w:t xml:space="preserve"> </w:t>
      </w:r>
      <w:r>
        <w:rPr>
          <w:rFonts w:hint="eastAsia" w:ascii="仿宋_GB2312" w:eastAsia="仿宋_GB2312"/>
          <w:bCs/>
          <w:sz w:val="32"/>
          <w:szCs w:val="32"/>
        </w:rPr>
        <w:t xml:space="preserve">   备注：</w:t>
      </w:r>
      <w:r>
        <w:rPr>
          <w:rFonts w:hint="eastAsia" w:ascii="仿宋_GB2312" w:hAnsi="宋体" w:eastAsia="仿宋_GB2312"/>
          <w:bCs/>
          <w:sz w:val="32"/>
          <w:szCs w:val="32"/>
        </w:rPr>
        <w:t>各种货币兑换人民币的汇率按照中国人民银行公布的202</w:t>
      </w:r>
      <w:r>
        <w:rPr>
          <w:rFonts w:ascii="仿宋_GB2312" w:hAnsi="宋体" w:eastAsia="仿宋_GB2312"/>
          <w:bCs/>
          <w:sz w:val="32"/>
          <w:szCs w:val="32"/>
        </w:rPr>
        <w:t>2</w:t>
      </w:r>
      <w:r>
        <w:rPr>
          <w:rFonts w:hint="eastAsia" w:ascii="仿宋_GB2312" w:hAnsi="宋体" w:eastAsia="仿宋_GB2312"/>
          <w:bCs/>
          <w:sz w:val="32"/>
          <w:szCs w:val="32"/>
        </w:rPr>
        <w:t>年6月30日人民币汇率中间价为计算依据。</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1.网络填报时间：</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hint="default" w:ascii="仿宋_GB2312" w:hAnsi="仿宋_GB2312" w:eastAsia="仿宋_GB2312" w:cs="仿宋_GB2312"/>
          <w:bCs/>
          <w:sz w:val="32"/>
          <w:szCs w:val="32"/>
        </w:rPr>
        <w:t>7</w:t>
      </w:r>
      <w:r>
        <w:rPr>
          <w:rFonts w:hint="eastAsia" w:ascii="仿宋_GB2312" w:hAnsi="宋体" w:eastAsia="仿宋_GB2312" w:cs="宋体"/>
          <w:kern w:val="0"/>
          <w:sz w:val="32"/>
          <w:szCs w:val="32"/>
        </w:rPr>
        <w:t>月</w:t>
      </w:r>
      <w:r>
        <w:rPr>
          <w:rFonts w:hint="default" w:ascii="仿宋_GB2312" w:hAnsi="仿宋_GB2312" w:eastAsia="仿宋_GB2312" w:cs="仿宋_GB2312"/>
          <w:bCs/>
          <w:sz w:val="32"/>
          <w:szCs w:val="32"/>
        </w:rPr>
        <w:t>25</w:t>
      </w:r>
      <w:r>
        <w:rPr>
          <w:rFonts w:hint="eastAsia" w:ascii="仿宋_GB2312" w:hAnsi="宋体" w:eastAsia="仿宋_GB2312" w:cs="宋体"/>
          <w:kern w:val="0"/>
          <w:sz w:val="32"/>
          <w:szCs w:val="32"/>
        </w:rPr>
        <w:t>日-202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hint="default" w:ascii="仿宋_GB2312" w:hAnsi="仿宋_GB2312" w:eastAsia="仿宋_GB2312" w:cs="仿宋_GB2312"/>
          <w:bCs/>
          <w:sz w:val="32"/>
          <w:szCs w:val="32"/>
        </w:rPr>
        <w:t>8</w:t>
      </w:r>
      <w:r>
        <w:rPr>
          <w:rFonts w:hint="eastAsia" w:ascii="仿宋_GB2312" w:hAnsi="宋体" w:eastAsia="仿宋_GB2312" w:cs="宋体"/>
          <w:kern w:val="0"/>
          <w:sz w:val="32"/>
          <w:szCs w:val="32"/>
        </w:rPr>
        <w:t>月</w:t>
      </w:r>
      <w:r>
        <w:rPr>
          <w:rFonts w:hint="default" w:ascii="仿宋_GB2312" w:hAnsi="仿宋_GB2312" w:eastAsia="仿宋_GB2312" w:cs="仿宋_GB2312"/>
          <w:bCs/>
          <w:sz w:val="32"/>
          <w:szCs w:val="32"/>
        </w:rPr>
        <w:t>8</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 xml:space="preserve"> </w:t>
      </w:r>
      <w:bookmarkStart w:id="0" w:name="_Hlk108261530"/>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25</w:t>
      </w:r>
      <w:r>
        <w:rPr>
          <w:rFonts w:hint="eastAsia" w:ascii="仿宋_GB2312" w:hAnsi="仿宋_GB2312" w:eastAsia="仿宋_GB2312" w:cs="仿宋_GB2312"/>
          <w:sz w:val="32"/>
          <w:szCs w:val="32"/>
        </w:rPr>
        <w:t>日-202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日17:45。</w:t>
      </w:r>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rPr>
          <w:rFonts w:ascii="仿宋_GB2312" w:eastAsia="仿宋_GB2312"/>
          <w:sz w:val="32"/>
          <w:szCs w:val="32"/>
        </w:rPr>
      </w:pPr>
    </w:p>
    <w:sectPr>
      <w:footerReference r:id="rId3" w:type="default"/>
      <w:pgSz w:w="11906" w:h="16838"/>
      <w:pgMar w:top="1474" w:right="1814"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ight="21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left="210" w:leftChars="100" w:right="21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9F916"/>
    <w:multiLevelType w:val="singleLevel"/>
    <w:tmpl w:val="7D19F9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AF4D69"/>
    <w:rsid w:val="0003353C"/>
    <w:rsid w:val="00042297"/>
    <w:rsid w:val="00044F22"/>
    <w:rsid w:val="00071EBA"/>
    <w:rsid w:val="00085E85"/>
    <w:rsid w:val="0009235B"/>
    <w:rsid w:val="00092AEC"/>
    <w:rsid w:val="00130F20"/>
    <w:rsid w:val="001474F4"/>
    <w:rsid w:val="001630C7"/>
    <w:rsid w:val="00182290"/>
    <w:rsid w:val="00191EC0"/>
    <w:rsid w:val="001A7592"/>
    <w:rsid w:val="001B04E7"/>
    <w:rsid w:val="001B6AE9"/>
    <w:rsid w:val="001B6BF0"/>
    <w:rsid w:val="00214F57"/>
    <w:rsid w:val="00222647"/>
    <w:rsid w:val="00222698"/>
    <w:rsid w:val="00224959"/>
    <w:rsid w:val="00304502"/>
    <w:rsid w:val="00330A9F"/>
    <w:rsid w:val="00340AC6"/>
    <w:rsid w:val="003A4656"/>
    <w:rsid w:val="003C2EF9"/>
    <w:rsid w:val="00440623"/>
    <w:rsid w:val="004C5894"/>
    <w:rsid w:val="004D1582"/>
    <w:rsid w:val="004F3921"/>
    <w:rsid w:val="004F77C0"/>
    <w:rsid w:val="005A515B"/>
    <w:rsid w:val="005B6DD6"/>
    <w:rsid w:val="00634D4F"/>
    <w:rsid w:val="006560F1"/>
    <w:rsid w:val="00675039"/>
    <w:rsid w:val="006C17B1"/>
    <w:rsid w:val="006E66B6"/>
    <w:rsid w:val="0076579E"/>
    <w:rsid w:val="00793405"/>
    <w:rsid w:val="007B596A"/>
    <w:rsid w:val="007C77D9"/>
    <w:rsid w:val="007F51AB"/>
    <w:rsid w:val="008003D6"/>
    <w:rsid w:val="00840877"/>
    <w:rsid w:val="00843F48"/>
    <w:rsid w:val="0085476F"/>
    <w:rsid w:val="008960EC"/>
    <w:rsid w:val="008D7D8B"/>
    <w:rsid w:val="008F7FDA"/>
    <w:rsid w:val="009020EB"/>
    <w:rsid w:val="00911EAD"/>
    <w:rsid w:val="00916C0A"/>
    <w:rsid w:val="00924041"/>
    <w:rsid w:val="00954A53"/>
    <w:rsid w:val="00A05A3B"/>
    <w:rsid w:val="00A37F09"/>
    <w:rsid w:val="00A50731"/>
    <w:rsid w:val="00A54F6D"/>
    <w:rsid w:val="00A80940"/>
    <w:rsid w:val="00AF4D69"/>
    <w:rsid w:val="00B05ED3"/>
    <w:rsid w:val="00B146A7"/>
    <w:rsid w:val="00B15496"/>
    <w:rsid w:val="00B52537"/>
    <w:rsid w:val="00B63186"/>
    <w:rsid w:val="00B90487"/>
    <w:rsid w:val="00BF4824"/>
    <w:rsid w:val="00C17CED"/>
    <w:rsid w:val="00C43D3A"/>
    <w:rsid w:val="00CB2013"/>
    <w:rsid w:val="00D72AE9"/>
    <w:rsid w:val="00DA2EDA"/>
    <w:rsid w:val="00E178EA"/>
    <w:rsid w:val="00F42067"/>
    <w:rsid w:val="00F92055"/>
    <w:rsid w:val="00FA04F5"/>
    <w:rsid w:val="00FC1D8E"/>
    <w:rsid w:val="00FD1416"/>
    <w:rsid w:val="00FD42E5"/>
    <w:rsid w:val="00FF7460"/>
    <w:rsid w:val="02275C2C"/>
    <w:rsid w:val="02280344"/>
    <w:rsid w:val="02546D50"/>
    <w:rsid w:val="02C544B0"/>
    <w:rsid w:val="02CB6C38"/>
    <w:rsid w:val="04074DD7"/>
    <w:rsid w:val="04A01CCD"/>
    <w:rsid w:val="05600685"/>
    <w:rsid w:val="07193D81"/>
    <w:rsid w:val="075270CE"/>
    <w:rsid w:val="07820E84"/>
    <w:rsid w:val="09904DB8"/>
    <w:rsid w:val="09E07B94"/>
    <w:rsid w:val="0A197892"/>
    <w:rsid w:val="0A3A61BE"/>
    <w:rsid w:val="0BF31DD5"/>
    <w:rsid w:val="0C102692"/>
    <w:rsid w:val="0C950894"/>
    <w:rsid w:val="0CD81845"/>
    <w:rsid w:val="0CEA6508"/>
    <w:rsid w:val="0FCB03F0"/>
    <w:rsid w:val="102074AD"/>
    <w:rsid w:val="10865E30"/>
    <w:rsid w:val="113A12E2"/>
    <w:rsid w:val="119702AC"/>
    <w:rsid w:val="11E10B50"/>
    <w:rsid w:val="11E371FD"/>
    <w:rsid w:val="11F37027"/>
    <w:rsid w:val="124A79F7"/>
    <w:rsid w:val="134D35FB"/>
    <w:rsid w:val="13BA6EDA"/>
    <w:rsid w:val="13BD6186"/>
    <w:rsid w:val="14697988"/>
    <w:rsid w:val="14F16143"/>
    <w:rsid w:val="166E45F0"/>
    <w:rsid w:val="17105DB9"/>
    <w:rsid w:val="174B5B59"/>
    <w:rsid w:val="17624856"/>
    <w:rsid w:val="17937D54"/>
    <w:rsid w:val="17B732C8"/>
    <w:rsid w:val="17BA5589"/>
    <w:rsid w:val="19607C86"/>
    <w:rsid w:val="19B3252E"/>
    <w:rsid w:val="1B6C37CD"/>
    <w:rsid w:val="1BD0265C"/>
    <w:rsid w:val="1BE517C4"/>
    <w:rsid w:val="1CBB1155"/>
    <w:rsid w:val="1D4100F7"/>
    <w:rsid w:val="1D863E9E"/>
    <w:rsid w:val="1E2743F2"/>
    <w:rsid w:val="1F547BEC"/>
    <w:rsid w:val="20843E4D"/>
    <w:rsid w:val="20D0294E"/>
    <w:rsid w:val="2165284B"/>
    <w:rsid w:val="222E13DC"/>
    <w:rsid w:val="225636AD"/>
    <w:rsid w:val="22AB4EA3"/>
    <w:rsid w:val="24854352"/>
    <w:rsid w:val="24DD0C9A"/>
    <w:rsid w:val="25AC3DE6"/>
    <w:rsid w:val="25BA7D0A"/>
    <w:rsid w:val="27675C4A"/>
    <w:rsid w:val="27CD6933"/>
    <w:rsid w:val="27E1709B"/>
    <w:rsid w:val="28060D23"/>
    <w:rsid w:val="28586738"/>
    <w:rsid w:val="298E15C7"/>
    <w:rsid w:val="2A4E0E2C"/>
    <w:rsid w:val="2B0A51B3"/>
    <w:rsid w:val="2CC33E06"/>
    <w:rsid w:val="2CEF7561"/>
    <w:rsid w:val="2E8439C5"/>
    <w:rsid w:val="2EB86416"/>
    <w:rsid w:val="2ED243F1"/>
    <w:rsid w:val="30613D50"/>
    <w:rsid w:val="30D3228D"/>
    <w:rsid w:val="31071FB4"/>
    <w:rsid w:val="311E1EDC"/>
    <w:rsid w:val="319A427B"/>
    <w:rsid w:val="3255758C"/>
    <w:rsid w:val="32573603"/>
    <w:rsid w:val="33551128"/>
    <w:rsid w:val="362B740B"/>
    <w:rsid w:val="36711025"/>
    <w:rsid w:val="36814D6A"/>
    <w:rsid w:val="37712CA3"/>
    <w:rsid w:val="37EA7DF1"/>
    <w:rsid w:val="38BB42AB"/>
    <w:rsid w:val="3AD3701A"/>
    <w:rsid w:val="3B0751BB"/>
    <w:rsid w:val="3B923FA5"/>
    <w:rsid w:val="3BF061AF"/>
    <w:rsid w:val="3CFB76AD"/>
    <w:rsid w:val="3D440CBE"/>
    <w:rsid w:val="3D841EF7"/>
    <w:rsid w:val="3DE038DC"/>
    <w:rsid w:val="3DE95A36"/>
    <w:rsid w:val="3E3754A0"/>
    <w:rsid w:val="3E5C4349"/>
    <w:rsid w:val="3EDA2DF3"/>
    <w:rsid w:val="4004522C"/>
    <w:rsid w:val="40052A3C"/>
    <w:rsid w:val="40813FE9"/>
    <w:rsid w:val="41346EB8"/>
    <w:rsid w:val="41B94BCB"/>
    <w:rsid w:val="4233740B"/>
    <w:rsid w:val="428F3E2B"/>
    <w:rsid w:val="429335E4"/>
    <w:rsid w:val="43BB5779"/>
    <w:rsid w:val="4471538E"/>
    <w:rsid w:val="45C54615"/>
    <w:rsid w:val="461445EF"/>
    <w:rsid w:val="462615B2"/>
    <w:rsid w:val="46B52CE9"/>
    <w:rsid w:val="489E42D7"/>
    <w:rsid w:val="48C73B0F"/>
    <w:rsid w:val="48FF5330"/>
    <w:rsid w:val="493E56E2"/>
    <w:rsid w:val="4B7B38A6"/>
    <w:rsid w:val="4C642D6B"/>
    <w:rsid w:val="4E392F65"/>
    <w:rsid w:val="4E69055A"/>
    <w:rsid w:val="4F4D7A23"/>
    <w:rsid w:val="507B1051"/>
    <w:rsid w:val="511E7A78"/>
    <w:rsid w:val="52070552"/>
    <w:rsid w:val="52223629"/>
    <w:rsid w:val="530D1447"/>
    <w:rsid w:val="5337359E"/>
    <w:rsid w:val="53EF10FC"/>
    <w:rsid w:val="54C44536"/>
    <w:rsid w:val="55244262"/>
    <w:rsid w:val="555B1A73"/>
    <w:rsid w:val="55AD3AFC"/>
    <w:rsid w:val="56AA5F67"/>
    <w:rsid w:val="56BD5E27"/>
    <w:rsid w:val="575C5407"/>
    <w:rsid w:val="57CB178C"/>
    <w:rsid w:val="58E7069D"/>
    <w:rsid w:val="58E91434"/>
    <w:rsid w:val="5A6953B0"/>
    <w:rsid w:val="5ADA2572"/>
    <w:rsid w:val="5AF96564"/>
    <w:rsid w:val="5B6508B6"/>
    <w:rsid w:val="5BDB018D"/>
    <w:rsid w:val="5BE9688B"/>
    <w:rsid w:val="5D4105AF"/>
    <w:rsid w:val="5D655A47"/>
    <w:rsid w:val="5D786880"/>
    <w:rsid w:val="5E8A7A4A"/>
    <w:rsid w:val="5F3D278A"/>
    <w:rsid w:val="607D1127"/>
    <w:rsid w:val="6221548F"/>
    <w:rsid w:val="63C66559"/>
    <w:rsid w:val="648A200C"/>
    <w:rsid w:val="684C7817"/>
    <w:rsid w:val="686B133D"/>
    <w:rsid w:val="68DE74D4"/>
    <w:rsid w:val="6A784ECE"/>
    <w:rsid w:val="6B170997"/>
    <w:rsid w:val="6B3F0D12"/>
    <w:rsid w:val="6C6C429E"/>
    <w:rsid w:val="6CC7442F"/>
    <w:rsid w:val="6DDFF9F5"/>
    <w:rsid w:val="6E081C72"/>
    <w:rsid w:val="6EB9B9BC"/>
    <w:rsid w:val="6EDD5F2C"/>
    <w:rsid w:val="6F067086"/>
    <w:rsid w:val="70985715"/>
    <w:rsid w:val="70EC075A"/>
    <w:rsid w:val="71300456"/>
    <w:rsid w:val="719561CD"/>
    <w:rsid w:val="75257810"/>
    <w:rsid w:val="75984E13"/>
    <w:rsid w:val="77A3721E"/>
    <w:rsid w:val="77D7D68E"/>
    <w:rsid w:val="77DA6A52"/>
    <w:rsid w:val="78703A17"/>
    <w:rsid w:val="788D49AE"/>
    <w:rsid w:val="78FC2241"/>
    <w:rsid w:val="795145BB"/>
    <w:rsid w:val="79BF6436"/>
    <w:rsid w:val="7B277F89"/>
    <w:rsid w:val="7B943E88"/>
    <w:rsid w:val="7C0A413E"/>
    <w:rsid w:val="7C1A2B5E"/>
    <w:rsid w:val="7C660E48"/>
    <w:rsid w:val="7CF467BE"/>
    <w:rsid w:val="7CFE7B4E"/>
    <w:rsid w:val="7D55336F"/>
    <w:rsid w:val="7E49645F"/>
    <w:rsid w:val="7E496C87"/>
    <w:rsid w:val="7F10269C"/>
    <w:rsid w:val="A6F71A70"/>
    <w:rsid w:val="CDF79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semiHidden/>
    <w:qFormat/>
    <w:uiPriority w:val="99"/>
    <w:rPr>
      <w:rFonts w:asciiTheme="minorHAnsi" w:hAnsiTheme="minorHAnsi" w:eastAsiaTheme="minorEastAsia" w:cstheme="minorBidi"/>
      <w:kern w:val="2"/>
      <w:sz w:val="18"/>
      <w:szCs w:val="18"/>
    </w:rPr>
  </w:style>
  <w:style w:type="character" w:customStyle="1" w:styleId="8">
    <w:name w:val="页脚 字符"/>
    <w:basedOn w:val="6"/>
    <w:link w:val="3"/>
    <w:qFormat/>
    <w:uiPriority w:val="99"/>
    <w:rPr>
      <w:rFonts w:asciiTheme="minorHAnsi" w:hAnsiTheme="minorHAnsi" w:eastAsiaTheme="minorEastAsia" w:cstheme="minorBidi"/>
      <w:kern w:val="2"/>
      <w:sz w:val="18"/>
      <w:szCs w:val="22"/>
    </w:rPr>
  </w:style>
  <w:style w:type="character" w:customStyle="1" w:styleId="9">
    <w:name w:val="font2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1097</Words>
  <Characters>6254</Characters>
  <Lines>52</Lines>
  <Paragraphs>14</Paragraphs>
  <TotalTime>14</TotalTime>
  <ScaleCrop>false</ScaleCrop>
  <LinksUpToDate>false</LinksUpToDate>
  <CharactersWithSpaces>7337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2020-07-24T22:50:00Z</dcterms:created>
  <dc:creator>王瑾</dc:creator>
  <cp:lastModifiedBy>A姬艳丽</cp:lastModifiedBy>
  <cp:lastPrinted>2021-09-10T19:05:00Z</cp:lastPrinted>
  <dcterms:modified xsi:type="dcterms:W3CDTF">2022-07-21T10:07:53Z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A497903F8A5E4538B5A8443EAA40D91E</vt:lpwstr>
  </property>
</Properties>
</file>