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hint="eastAsia" w:ascii="宋体" w:hAnsi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56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深圳市科技创新委员会2023年度重点企业研究院认定资助申请指南</w:t>
      </w:r>
    </w:p>
    <w:p>
      <w:pPr>
        <w:pStyle w:val="8"/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pStyle w:val="8"/>
        <w:spacing w:line="560" w:lineRule="exact"/>
        <w:ind w:firstLine="645"/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一、申请内容</w:t>
      </w:r>
    </w:p>
    <w:p>
      <w:pPr>
        <w:pStyle w:val="8"/>
        <w:spacing w:line="560" w:lineRule="exact"/>
        <w:ind w:firstLine="645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重点企业研究院认定资助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本市具有较强科技研发能力的企业（即“依托单位”）建设不独立于依托单位的，不具有独立法人资格的科研载体（即“重点企业研究院”），开展基础与应用基础研究、关键核心技术攻关、科技人才培养、技术转移和成果转化等活动，以创建更高水平创新载体，提升企业自主创新能力。</w:t>
      </w:r>
    </w:p>
    <w:p>
      <w:pPr>
        <w:pStyle w:val="8"/>
        <w:spacing w:line="560" w:lineRule="exact"/>
        <w:ind w:firstLine="645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二、设定依据</w:t>
      </w:r>
    </w:p>
    <w:p>
      <w:pPr>
        <w:pStyle w:val="8"/>
        <w:spacing w:line="56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（一）《深圳经济特区科技创新条例》，深圳市第六届人民代表大会常务委员会公告，第二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号；</w:t>
      </w:r>
    </w:p>
    <w:p>
      <w:pPr>
        <w:pStyle w:val="8"/>
        <w:spacing w:line="56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）《关于促进科技创新的若干措施》，中共深圳市委、深圳市人民政府，深发〔2016〕7号；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）《深圳市科技计划管理改革方案》，深圳市人民政府，深府〔2019〕1号；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）《深圳市科技计划项目管理办法》，深圳市科技创新委员会，深科技创新规〔2019〕1号；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）《深圳市科技研发资金管理办法》，深圳市科技创新委员会、深圳市财政局，深科技创新规〔2019〕2号；</w:t>
      </w:r>
    </w:p>
    <w:p>
      <w:pPr>
        <w:pStyle w:val="8"/>
        <w:spacing w:line="560" w:lineRule="exact"/>
        <w:ind w:firstLine="645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《深圳市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重点企业研究院资助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管理办法》，深圳市科技创新委员会，深科技创新规〔202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〕1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号。</w:t>
      </w:r>
    </w:p>
    <w:p>
      <w:pPr>
        <w:pStyle w:val="8"/>
        <w:spacing w:line="560" w:lineRule="exact"/>
        <w:ind w:firstLine="645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三、支持强度与方式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支持强度：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有数量限制，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受科技研发资金年度总额控制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，具体如下：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认定资助不超过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30个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。对经认定的重点企业研究院，按照依托单位上两个年度平均投入研发经费（应当为依托单位实际投入重点企业研究院的自有资金，不包括各级财政资助资金）的25%予以资助，资助金额最高不超过1000万元。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支持方式：事后资助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，本批次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/>
        </w:rPr>
        <w:t>资助资金纳入202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/>
          <w:lang w:val="en-US" w:eastAsia="zh-CN"/>
        </w:rPr>
        <w:t>3年度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/>
        </w:rPr>
        <w:t>市级财政预算安排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8"/>
        <w:spacing w:line="560" w:lineRule="exact"/>
        <w:ind w:firstLine="645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采取“先建设，后认定”的方式，由依托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自主建设、自主管理重点企业研究院，再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独立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申请认定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。申请单位应当符合以下条件：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（即重点企业研究院依托单位）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应当是在深圳市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特别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依法注册、具有法人资格的企业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，具备以下条件之一：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获得认定的国家高新技术企业；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研发费用超过5000万元的企业。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拥有至少一个已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验收的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国家重点实验室、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国家工程实验室、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重点实验室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、深圳市工程实验室、深圳市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工程技术研究中心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、深圳市工程研究中心或深圳市企业技术中心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（事后资助类的无需通过验收）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2020-2021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主营业务收入、研发费用投入等，应当具备以下条件之一：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主营业务收入均应超过5亿元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企业研发费用占同期销售收入总额比例不低于4%；</w:t>
      </w:r>
    </w:p>
    <w:p>
      <w:pPr>
        <w:pStyle w:val="8"/>
        <w:spacing w:line="560" w:lineRule="exact"/>
        <w:ind w:firstLine="645"/>
        <w:rPr>
          <w:rFonts w:hint="default" w:asci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主营业务收入均应超过5亿元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每年按照高新技术企业认定管理办法经专项审计的研发费用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需符合研发费用加计扣除政策范畴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超过4000万元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生物与人口健康技术领域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仅限医药生物技术，中药、天然药物，化学药研发技术，药物新剂型与制剂创制技术，医疗仪器、设备与医学专用软件子领域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）的依托单位，每年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主营业务收入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均应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超过1亿元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企业研发费用占同期销售收入总额比例不低于20%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2019-2021年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在重点企业研究院申请领域获得授权的有效知识产权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（只</w:t>
      </w:r>
      <w:r>
        <w:rPr>
          <w:rFonts w:hint="eastAsia" w:ascii="仿宋_GB2312" w:eastAsia="仿宋_GB2312" w:cs="仿宋_GB2312"/>
          <w:sz w:val="32"/>
          <w:szCs w:val="32"/>
        </w:rPr>
        <w:t>包括发明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专利</w:t>
      </w:r>
      <w:r>
        <w:rPr>
          <w:rFonts w:hint="eastAsia" w:ascii="仿宋_GB2312" w:eastAsia="仿宋_GB2312" w:cs="仿宋_GB2312"/>
          <w:sz w:val="32"/>
          <w:szCs w:val="32"/>
        </w:rPr>
        <w:t>、实用新型、非简单改变产品图案和形状的外观设计、软件著作权、集成电路布图设计专有权、植物新品种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药品注册批件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应当具备以下条件之一：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获得授权的有效知识产权数量不少于30件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2.属于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集成电路设计、植物新品种研究、非软件开发类的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获得授权的有效知识产权数量不少于20件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3.属于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药品研发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仅限医药生物技术，中药、天然药物，化学药研发技术，药物新剂型与制剂创制技术子领域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获得授权的有效知识产权数量不少于15件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通过受让、受赠、并购等非自主研发方式拥有的有效知识产权数量不得超过总量的30%；</w:t>
      </w: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聘用的重点企业研究院院长应当在申请领域具有高学术水平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，年龄原则上不超过60周岁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1963年1月1日后出生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；聘用的专职研发人员不少于50人，其中具有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较高学术水平以上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人数不低于总数的30％，具有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高学术水平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人数不少于10名；院长和专职研发人员均应当在重点企业研究院全职工作；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）重点企业研究院研发用房面积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应当在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1000平方米以上；仪器设备及专用软件的现值不低于2000万元或者原值不低于4000万元（软件类的依托单位仪器设备及专用软件现值可以不低于1500 万元或者原值不低于3000 万元）；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重点企业研究院院长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、副院长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和核心研发人员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具备良好的科研诚信记录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（八）限项要求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仅可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个重点企业研究院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已认定和被取消资格的重点企业研究院的依托单位,不得申请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.申请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重点企业研究院院长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、副院长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和核心研发人员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被列入深圳市科研诚信异常名录或超期未申请验收名单的，不得申请；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重点企业研究院院长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、副院长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和核心研发人员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被列入深圳市科技创新委员会验收不通过名单的，不得申请；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.申请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存在未在规定期限内退回财政资金的情形，不得申请。</w:t>
      </w:r>
    </w:p>
    <w:p>
      <w:pPr>
        <w:pStyle w:val="8"/>
        <w:spacing w:line="560" w:lineRule="exact"/>
        <w:ind w:firstLine="321" w:firstLineChars="100"/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kern w:val="2"/>
          <w:sz w:val="32"/>
          <w:szCs w:val="32"/>
          <w:lang w:eastAsia="zh-CN"/>
        </w:rPr>
        <w:t>特别提醒：</w:t>
      </w:r>
      <w:r>
        <w:rPr>
          <w:rFonts w:hint="eastAsia" w:ascii="仿宋_GB2312" w:eastAsia="仿宋_GB2312"/>
          <w:kern w:val="2"/>
          <w:sz w:val="32"/>
          <w:szCs w:val="32"/>
        </w:rPr>
        <w:t>申请单位和申请人对申请材料的合法性、真实性、准确性和完整性负责。对抄袭剽窃或弄虚作假的，我委核实后将不予立项或撤销项目，并纳入科研诚信异常名录，同时视情节轻重，依法依规追究相应责任。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、受理机关</w:t>
      </w:r>
    </w:p>
    <w:p>
      <w:pPr>
        <w:pStyle w:val="8"/>
        <w:spacing w:line="560" w:lineRule="exact"/>
        <w:ind w:firstLine="645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（一）受理机关：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eastAsia="仿宋_GB2312" w:cs="仿宋_GB2312"/>
          <w:sz w:val="32"/>
          <w:szCs w:val="32"/>
        </w:rPr>
        <w:t>市科技创新委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员会</w:t>
      </w:r>
    </w:p>
    <w:p>
      <w:pPr>
        <w:pStyle w:val="8"/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（二）受理时间：</w:t>
      </w:r>
    </w:p>
    <w:p>
      <w:pPr>
        <w:pStyle w:val="8"/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网上填报受理时间为：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日-202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eastAsia="仿宋_GB2312" w:cs="仿宋_GB2312"/>
          <w:sz w:val="32"/>
          <w:szCs w:val="32"/>
        </w:rPr>
        <w:t>（截止18:00）。</w:t>
      </w:r>
    </w:p>
    <w:p>
      <w:pPr>
        <w:pStyle w:val="8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办公时间：星期一至星期五上午：9：00-12：00 下午：14：00-</w:t>
      </w:r>
      <w:r>
        <w:rPr>
          <w:rFonts w:hint="eastAsia" w:ascii="仿宋_GB2312" w:eastAsia="仿宋_GB2312"/>
          <w:sz w:val="32"/>
          <w:szCs w:val="32"/>
        </w:rPr>
        <w:t>17:45。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、办理程序</w:t>
      </w:r>
    </w:p>
    <w:p>
      <w:pPr>
        <w:pStyle w:val="8"/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网上申报——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电子材料初审及委托审计</w:t>
      </w:r>
      <w:r>
        <w:rPr>
          <w:rFonts w:hint="eastAsia" w:ascii="仿宋_GB2312" w:eastAsia="仿宋_GB2312" w:cs="仿宋_GB2312"/>
          <w:sz w:val="32"/>
          <w:szCs w:val="32"/>
        </w:rPr>
        <w:t>——专家评审——现场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 w:cs="仿宋_GB2312"/>
          <w:sz w:val="32"/>
          <w:szCs w:val="32"/>
        </w:rPr>
        <w:t>——项目拟定——征求意见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 w:cs="仿宋_GB2312"/>
          <w:sz w:val="32"/>
          <w:szCs w:val="32"/>
        </w:rPr>
        <w:t>社会公示——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项目审定</w:t>
      </w:r>
      <w:r>
        <w:rPr>
          <w:rFonts w:hint="eastAsia" w:ascii="仿宋_GB2312" w:eastAsia="仿宋_GB2312" w:cs="仿宋_GB2312"/>
          <w:sz w:val="32"/>
          <w:szCs w:val="32"/>
        </w:rPr>
        <w:t>——项目入库——计划下达——书面材料提交——经费拨付。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6C3A75B6"/>
    <w:rsid w:val="01546A3A"/>
    <w:rsid w:val="03AE0CC6"/>
    <w:rsid w:val="04342932"/>
    <w:rsid w:val="066E5864"/>
    <w:rsid w:val="08301676"/>
    <w:rsid w:val="08B83C92"/>
    <w:rsid w:val="0AF065E2"/>
    <w:rsid w:val="0B8A0482"/>
    <w:rsid w:val="0D1D748C"/>
    <w:rsid w:val="107D301E"/>
    <w:rsid w:val="113478F6"/>
    <w:rsid w:val="11470ACB"/>
    <w:rsid w:val="162D249A"/>
    <w:rsid w:val="1BF31328"/>
    <w:rsid w:val="1CA75557"/>
    <w:rsid w:val="1CAC4192"/>
    <w:rsid w:val="1DDFDD5E"/>
    <w:rsid w:val="1EABDEDD"/>
    <w:rsid w:val="1FB700E8"/>
    <w:rsid w:val="20B04DFD"/>
    <w:rsid w:val="20C973A3"/>
    <w:rsid w:val="2465185A"/>
    <w:rsid w:val="250C17E6"/>
    <w:rsid w:val="26617A26"/>
    <w:rsid w:val="29371305"/>
    <w:rsid w:val="295D5F43"/>
    <w:rsid w:val="299FEFCB"/>
    <w:rsid w:val="29D9419D"/>
    <w:rsid w:val="2C7FC6A6"/>
    <w:rsid w:val="2FBFBE15"/>
    <w:rsid w:val="2FEF09D4"/>
    <w:rsid w:val="3175F9E2"/>
    <w:rsid w:val="34145C07"/>
    <w:rsid w:val="347E69FA"/>
    <w:rsid w:val="34B43111"/>
    <w:rsid w:val="36D92112"/>
    <w:rsid w:val="372F65F8"/>
    <w:rsid w:val="37BDBDB7"/>
    <w:rsid w:val="37BF0FDB"/>
    <w:rsid w:val="37FF999C"/>
    <w:rsid w:val="382F3AC9"/>
    <w:rsid w:val="3A621207"/>
    <w:rsid w:val="3AFF1A70"/>
    <w:rsid w:val="3B26AD85"/>
    <w:rsid w:val="3BDB2A86"/>
    <w:rsid w:val="3F3E3C47"/>
    <w:rsid w:val="3F4D1CB2"/>
    <w:rsid w:val="3F573E95"/>
    <w:rsid w:val="3F73872D"/>
    <w:rsid w:val="3FEFD9E0"/>
    <w:rsid w:val="455A6F23"/>
    <w:rsid w:val="48D124F4"/>
    <w:rsid w:val="4BC41B6F"/>
    <w:rsid w:val="4C3D35D5"/>
    <w:rsid w:val="4EECD897"/>
    <w:rsid w:val="4F9517CB"/>
    <w:rsid w:val="506A4409"/>
    <w:rsid w:val="5155604A"/>
    <w:rsid w:val="51FC5577"/>
    <w:rsid w:val="5304728D"/>
    <w:rsid w:val="53FFC96C"/>
    <w:rsid w:val="57D13224"/>
    <w:rsid w:val="58764059"/>
    <w:rsid w:val="598D73A7"/>
    <w:rsid w:val="59D10937"/>
    <w:rsid w:val="5B3A2324"/>
    <w:rsid w:val="5BEA01E4"/>
    <w:rsid w:val="5C693659"/>
    <w:rsid w:val="5CABF98E"/>
    <w:rsid w:val="5CBFF0FF"/>
    <w:rsid w:val="5E73E5B1"/>
    <w:rsid w:val="5F4594D7"/>
    <w:rsid w:val="5F58747B"/>
    <w:rsid w:val="62343E96"/>
    <w:rsid w:val="638F7300"/>
    <w:rsid w:val="64772FF6"/>
    <w:rsid w:val="647B2DB0"/>
    <w:rsid w:val="653B24CC"/>
    <w:rsid w:val="65494886"/>
    <w:rsid w:val="677F437F"/>
    <w:rsid w:val="679F5269"/>
    <w:rsid w:val="67BF15CD"/>
    <w:rsid w:val="67C5734E"/>
    <w:rsid w:val="67FF9C6E"/>
    <w:rsid w:val="6C3A75B6"/>
    <w:rsid w:val="6CFC4D27"/>
    <w:rsid w:val="6DB01C54"/>
    <w:rsid w:val="6DFB46E2"/>
    <w:rsid w:val="6EC32C11"/>
    <w:rsid w:val="6F8F45B2"/>
    <w:rsid w:val="6FD7E435"/>
    <w:rsid w:val="6FE9D6EF"/>
    <w:rsid w:val="6FF77CC5"/>
    <w:rsid w:val="6FFF25E7"/>
    <w:rsid w:val="73625547"/>
    <w:rsid w:val="737981EF"/>
    <w:rsid w:val="756F6C73"/>
    <w:rsid w:val="75EFF388"/>
    <w:rsid w:val="76FB5654"/>
    <w:rsid w:val="76FE251C"/>
    <w:rsid w:val="76FE8961"/>
    <w:rsid w:val="775FB649"/>
    <w:rsid w:val="77FFF7FB"/>
    <w:rsid w:val="79BB5CBE"/>
    <w:rsid w:val="7A6C2A11"/>
    <w:rsid w:val="7AEF987B"/>
    <w:rsid w:val="7BFF3AD7"/>
    <w:rsid w:val="7BFFDAE2"/>
    <w:rsid w:val="7C0737D3"/>
    <w:rsid w:val="7CB66EBF"/>
    <w:rsid w:val="7D577BEA"/>
    <w:rsid w:val="7DDA4B9D"/>
    <w:rsid w:val="7DDF4068"/>
    <w:rsid w:val="7EFFB9F8"/>
    <w:rsid w:val="7F5707FF"/>
    <w:rsid w:val="7F774542"/>
    <w:rsid w:val="7F7F3836"/>
    <w:rsid w:val="7F9FFE10"/>
    <w:rsid w:val="7FB7DD30"/>
    <w:rsid w:val="7FBF5E27"/>
    <w:rsid w:val="7FFB40EF"/>
    <w:rsid w:val="8BFF3E3E"/>
    <w:rsid w:val="9FECE5EB"/>
    <w:rsid w:val="AFF74990"/>
    <w:rsid w:val="AFF97489"/>
    <w:rsid w:val="B379F64B"/>
    <w:rsid w:val="B63FABAD"/>
    <w:rsid w:val="B6F79526"/>
    <w:rsid w:val="B92FCCDB"/>
    <w:rsid w:val="BB5FCD24"/>
    <w:rsid w:val="BCE824F1"/>
    <w:rsid w:val="BDEFD882"/>
    <w:rsid w:val="BF6F6251"/>
    <w:rsid w:val="BFE55951"/>
    <w:rsid w:val="BFEFA198"/>
    <w:rsid w:val="C6CF63A6"/>
    <w:rsid w:val="CF9D28A7"/>
    <w:rsid w:val="D7BF517E"/>
    <w:rsid w:val="DCFEFE2A"/>
    <w:rsid w:val="DD7F183A"/>
    <w:rsid w:val="DEDF96F6"/>
    <w:rsid w:val="DEFB5E3D"/>
    <w:rsid w:val="DEFD0428"/>
    <w:rsid w:val="DF5F7D5C"/>
    <w:rsid w:val="DFBB5FE0"/>
    <w:rsid w:val="DFBF9822"/>
    <w:rsid w:val="DFE71734"/>
    <w:rsid w:val="DFF9F586"/>
    <w:rsid w:val="E3BCC2C2"/>
    <w:rsid w:val="E55FA35A"/>
    <w:rsid w:val="E567AEB2"/>
    <w:rsid w:val="E7D5EAE8"/>
    <w:rsid w:val="ECDE57FA"/>
    <w:rsid w:val="EEFFD02A"/>
    <w:rsid w:val="EFFFB2E8"/>
    <w:rsid w:val="EFFFE7A7"/>
    <w:rsid w:val="F2BF5B8E"/>
    <w:rsid w:val="F2EF2C15"/>
    <w:rsid w:val="F3E5893F"/>
    <w:rsid w:val="F5670F9D"/>
    <w:rsid w:val="F5DF7AB5"/>
    <w:rsid w:val="F6BBF999"/>
    <w:rsid w:val="F71C3DA6"/>
    <w:rsid w:val="F7792957"/>
    <w:rsid w:val="F7EF77BA"/>
    <w:rsid w:val="F9355BB1"/>
    <w:rsid w:val="F96F9D09"/>
    <w:rsid w:val="F9FFEB2F"/>
    <w:rsid w:val="FB7F45D5"/>
    <w:rsid w:val="FBDD8E30"/>
    <w:rsid w:val="FC7BB385"/>
    <w:rsid w:val="FCF7BB94"/>
    <w:rsid w:val="FCFF5C95"/>
    <w:rsid w:val="FE6F6422"/>
    <w:rsid w:val="FF73964C"/>
    <w:rsid w:val="FF7DBDC1"/>
    <w:rsid w:val="FFBB8888"/>
    <w:rsid w:val="FFDDAE21"/>
    <w:rsid w:val="FFF17EBF"/>
    <w:rsid w:val="FFF4736F"/>
    <w:rsid w:val="FFFA0E08"/>
    <w:rsid w:val="FFFB84ED"/>
    <w:rsid w:val="FF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2021-01-11T01:21:00Z</dcterms:created>
  <dc:creator>曾鑫鹏</dc:creator>
  <cp:lastModifiedBy>A姬艳丽</cp:lastModifiedBy>
  <cp:lastPrinted>2022-07-08T09:35:00Z</cp:lastPrinted>
  <dcterms:modified xsi:type="dcterms:W3CDTF">2022-07-21T10:33:44Z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A2300E2C0A2147D39527EB225D403B14</vt:lpwstr>
  </property>
</Properties>
</file>