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服务业企业营收支持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项目申请指南</w:t>
      </w:r>
    </w:p>
    <w:p>
      <w:pPr>
        <w:pStyle w:val="2"/>
        <w:spacing w:line="560" w:lineRule="exact"/>
        <w:jc w:val="both"/>
      </w:pPr>
    </w:p>
    <w:p>
      <w:pPr>
        <w:spacing w:line="560" w:lineRule="exact"/>
        <w:ind w:firstLine="640" w:firstLineChars="200"/>
        <w:rPr>
          <w:rFonts w:ascii="黑体" w:hAnsi="黑体" w:eastAsia="黑体"/>
          <w:kern w:val="44"/>
          <w:sz w:val="32"/>
        </w:rPr>
      </w:pPr>
      <w:r>
        <w:rPr>
          <w:rFonts w:hint="eastAsia" w:ascii="黑体" w:hAnsi="黑体" w:eastAsia="黑体"/>
          <w:kern w:val="44"/>
          <w:sz w:val="32"/>
        </w:rPr>
        <w:t>一、设定依据</w:t>
      </w:r>
      <w:bookmarkStart w:id="0" w:name="_GoBack"/>
      <w:bookmarkEnd w:id="0"/>
    </w:p>
    <w:p>
      <w:pPr>
        <w:pStyle w:val="6"/>
        <w:spacing w:line="560" w:lineRule="exact"/>
        <w:ind w:firstLine="640"/>
      </w:pPr>
      <w:r>
        <w:rPr>
          <w:rFonts w:hint="eastAsia"/>
        </w:rPr>
        <w:t>（一）《深圳市光明区人民政府关于印发深圳市光明区支持3+1产业发展系列政策的通知》（深光府规〔2020〕7号）。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（二）《深圳市光明区科技创新局关于印发光明区支持3+1产业发展系列政策操作规程的通知》（深光科创〔2021〕5号）。</w:t>
      </w:r>
    </w:p>
    <w:p>
      <w:pPr>
        <w:pStyle w:val="6"/>
        <w:spacing w:line="560" w:lineRule="exact"/>
        <w:ind w:firstLine="640"/>
        <w:rPr>
          <w:rFonts w:ascii="黑体" w:hAnsi="黑体" w:eastAsia="黑体"/>
          <w:kern w:val="44"/>
        </w:rPr>
      </w:pPr>
      <w:r>
        <w:rPr>
          <w:rFonts w:hint="eastAsia" w:ascii="黑体" w:hAnsi="黑体" w:eastAsia="黑体"/>
          <w:kern w:val="44"/>
        </w:rPr>
        <w:t>二、支持对象、方向、方式和标准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（一）支持对象：为从事科技服务的企业、事业单位、社会团体、民办非企业等机构（以下简称“申报单位”）。</w:t>
      </w:r>
    </w:p>
    <w:p>
      <w:pPr>
        <w:pStyle w:val="6"/>
        <w:spacing w:line="560" w:lineRule="exact"/>
        <w:ind w:firstLine="640"/>
        <w:rPr>
          <w:rFonts w:hint="eastAsia"/>
          <w:lang w:eastAsia="zh-CN"/>
        </w:rPr>
      </w:pPr>
      <w:r>
        <w:rPr>
          <w:rFonts w:hint="eastAsia"/>
        </w:rPr>
        <w:t>（二）支持方向和方式：</w:t>
      </w:r>
      <w:r>
        <w:rPr>
          <w:rFonts w:hint="eastAsia"/>
          <w:lang w:eastAsia="zh-CN"/>
        </w:rPr>
        <w:t>支持营收增长的科学研究和技术服务业企业。此项目采用直接奖励方式。</w:t>
      </w:r>
    </w:p>
    <w:p>
      <w:pPr>
        <w:pStyle w:val="6"/>
        <w:spacing w:line="560" w:lineRule="exact"/>
      </w:pPr>
      <w:r>
        <w:rPr>
          <w:rFonts w:hint="eastAsia"/>
        </w:rPr>
        <w:t>（三）支持标准：对年营业收入首次达到1亿元、3亿元、5亿元，且同比增速超过20%的科学研究和技术服务业企业，一次性奖励100万元、200万元、300万元。单家企业原则上仅申请一次，对于达到不同档次资助条件的企业，第二、三次申请则按差额部分予以资助。</w:t>
      </w:r>
    </w:p>
    <w:p>
      <w:pPr>
        <w:pStyle w:val="6"/>
        <w:spacing w:line="560" w:lineRule="exact"/>
        <w:ind w:firstLine="640"/>
        <w:rPr>
          <w:rFonts w:ascii="黑体" w:hAnsi="黑体" w:eastAsia="黑体"/>
          <w:kern w:val="44"/>
        </w:rPr>
      </w:pPr>
      <w:r>
        <w:rPr>
          <w:rFonts w:hint="eastAsia" w:ascii="黑体" w:hAnsi="黑体" w:eastAsia="黑体"/>
          <w:kern w:val="44"/>
        </w:rPr>
        <w:t>三、申请条件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（一）注册登记地、纳税地和统计地均在光明区，且具有独立法人资格。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（二）履行统计数据申报义务，有规范健全的财务制度。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（三）近三年经营规范，无重大违法违规行为发生，即在安全生产、环境保护、人力资源、市场监管、消防、社保、统计、财税等方面未受到10万元（含）以上罚款处罚，且无较大安全生产事故发生。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（四）近三年信用记录良好，申请资助时不在经营异常名录和严重违法失信企业名单之中（以深圳市公共信用中心数据为准）。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（五）申报的项目应符合国家、省、市、区产业政策和经济社会发展要求。</w:t>
      </w:r>
    </w:p>
    <w:p>
      <w:pPr>
        <w:pStyle w:val="6"/>
        <w:spacing w:line="560" w:lineRule="exact"/>
        <w:ind w:firstLine="640"/>
      </w:pPr>
      <w:r>
        <w:rPr>
          <w:rFonts w:hint="eastAsia"/>
        </w:rPr>
        <w:t>（六）所从事行业或开展的业务按照有关规定需经有关部门核准、备案或需取得相关资质的，应按要求取得。</w:t>
      </w:r>
    </w:p>
    <w:p>
      <w:pPr>
        <w:pStyle w:val="6"/>
        <w:spacing w:line="560" w:lineRule="exact"/>
        <w:ind w:firstLine="640"/>
        <w:rPr>
          <w:rFonts w:cs="仿宋_GB2312"/>
          <w:szCs w:val="32"/>
        </w:rPr>
      </w:pPr>
      <w:r>
        <w:rPr>
          <w:rFonts w:hint="eastAsia"/>
        </w:rPr>
        <w:t>（七）营业收入首次达到1亿元、3亿元、5亿元，且同比增速超过20%的科学研究和技术服务业企业。</w:t>
      </w:r>
    </w:p>
    <w:p>
      <w:pPr>
        <w:pStyle w:val="6"/>
        <w:spacing w:line="560" w:lineRule="exact"/>
        <w:ind w:firstLine="640"/>
        <w:rPr>
          <w:rFonts w:hint="eastAsia" w:ascii="黑体" w:hAnsi="黑体" w:eastAsia="黑体"/>
          <w:kern w:val="44"/>
        </w:rPr>
      </w:pPr>
    </w:p>
    <w:p>
      <w:pPr>
        <w:pStyle w:val="6"/>
        <w:spacing w:line="560" w:lineRule="exact"/>
        <w:ind w:firstLine="640"/>
        <w:rPr>
          <w:rFonts w:ascii="黑体" w:hAnsi="黑体" w:eastAsia="黑体"/>
          <w:kern w:val="44"/>
        </w:rPr>
      </w:pPr>
      <w:r>
        <w:rPr>
          <w:rFonts w:hint="eastAsia" w:ascii="黑体" w:hAnsi="黑体" w:eastAsia="黑体"/>
          <w:kern w:val="44"/>
          <w:lang w:val="en-US" w:eastAsia="zh-CN"/>
        </w:rPr>
        <w:t>四</w:t>
      </w:r>
      <w:r>
        <w:rPr>
          <w:rFonts w:hint="eastAsia" w:ascii="黑体" w:hAnsi="黑体" w:eastAsia="黑体"/>
          <w:kern w:val="44"/>
        </w:rPr>
        <w:t>、办理流程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明区工业和信息化局发布指南——申请单位网上申报——申请单位向区工业和信息化局提交申请材料——初审——征求相关部门意见——拟定资助计划——社会公示——下达项目资金计划——区工业和信息化局拨付资金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31391E22"/>
    <w:rsid w:val="31391E22"/>
    <w:rsid w:val="3D7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我的正文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2022-07-19T10:59:00Z</dcterms:created>
  <dc:creator>Evan</dc:creator>
  <cp:lastModifiedBy>A姬艳丽</cp:lastModifiedBy>
  <dcterms:modified xsi:type="dcterms:W3CDTF">2022-07-22T10:42:29Z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A882B6CC0A4F48319A698D842F28DC70</vt:lpwstr>
  </property>
</Properties>
</file>