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w:t>
      </w:r>
      <w:r>
        <w:rPr>
          <w:rFonts w:ascii="方正小标宋简体" w:eastAsia="方正小标宋简体"/>
          <w:sz w:val="44"/>
          <w:szCs w:val="44"/>
        </w:rPr>
        <w:t>商务局</w:t>
      </w:r>
      <w:r>
        <w:rPr>
          <w:rFonts w:hint="eastAsia" w:ascii="方正小标宋简体" w:eastAsia="方正小标宋简体"/>
          <w:sz w:val="44"/>
          <w:szCs w:val="44"/>
        </w:rPr>
        <w:t>促进消费提升扶持计划</w:t>
      </w:r>
      <w:r>
        <w:rPr>
          <w:rFonts w:ascii="方正小标宋简体" w:eastAsia="方正小标宋简体"/>
          <w:sz w:val="44"/>
          <w:szCs w:val="44"/>
        </w:rPr>
        <w:t>（纾困</w:t>
      </w:r>
    </w:p>
    <w:p>
      <w:pPr>
        <w:spacing w:line="560" w:lineRule="exact"/>
        <w:jc w:val="center"/>
        <w:rPr>
          <w:rFonts w:ascii="方正小标宋简体" w:eastAsia="方正小标宋简体"/>
          <w:sz w:val="44"/>
          <w:szCs w:val="44"/>
        </w:rPr>
      </w:pPr>
      <w:r>
        <w:rPr>
          <w:rFonts w:ascii="方正小标宋简体" w:eastAsia="方正小标宋简体"/>
          <w:sz w:val="44"/>
          <w:szCs w:val="44"/>
        </w:rPr>
        <w:t>政策—住宿餐饮及批发零售企业</w:t>
      </w:r>
    </w:p>
    <w:p>
      <w:pPr>
        <w:pStyle w:val="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防疫消杀补贴项目）</w:t>
      </w:r>
    </w:p>
    <w:p>
      <w:pPr>
        <w:pStyle w:val="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bookmarkStart w:id="0" w:name="_GoBack"/>
      <w:bookmarkEnd w:id="0"/>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统筹好疫情防控和经济社会发展，进一步减轻市场主体负担，全力帮助市场主体渡过难关，</w:t>
      </w:r>
      <w:r>
        <w:rPr>
          <w:rFonts w:ascii="仿宋_GB2312" w:hAnsi="仿宋_GB2312" w:eastAsia="仿宋_GB2312" w:cs="仿宋_GB2312"/>
          <w:bCs/>
          <w:sz w:val="32"/>
          <w:szCs w:val="32"/>
        </w:rPr>
        <w:t>对住宿餐饮业、批发零售业的企业防疫物资、消杀服务等支出给予分档补贴</w:t>
      </w:r>
      <w:r>
        <w:rPr>
          <w:rFonts w:ascii="仿宋_GB2312" w:hAnsi="仿宋_GB2312" w:eastAsia="仿宋_GB2312" w:cs="仿宋_GB2312"/>
          <w:color w:val="000000"/>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ascii="仿宋_GB2312" w:eastAsia="仿宋_GB2312"/>
          <w:sz w:val="32"/>
          <w:szCs w:val="32"/>
        </w:rPr>
      </w:pPr>
      <w:r>
        <w:rPr>
          <w:rFonts w:ascii="仿宋_GB2312" w:eastAsia="仿宋_GB2312"/>
          <w:sz w:val="32"/>
          <w:szCs w:val="32"/>
        </w:rPr>
        <w:t>《深圳市关于应对新冠肺炎疫情进一步帮助市场主体纾困解难若干措施》（深府</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）及其相关文件。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sz w:val="32"/>
          <w:szCs w:val="32"/>
        </w:rPr>
      </w:pPr>
      <w:r>
        <w:rPr>
          <w:rFonts w:hint="eastAsia" w:ascii="楷体_GB2312" w:eastAsia="楷体_GB2312"/>
          <w:sz w:val="32"/>
          <w:szCs w:val="32"/>
        </w:rPr>
        <w:t>（一）支持数量</w:t>
      </w:r>
    </w:p>
    <w:p>
      <w:pPr>
        <w:spacing w:line="560" w:lineRule="exact"/>
        <w:ind w:firstLine="640"/>
        <w:jc w:val="left"/>
        <w:rPr>
          <w:rFonts w:ascii="仿宋_GB2312" w:eastAsia="仿宋_GB2312"/>
          <w:sz w:val="32"/>
          <w:szCs w:val="32"/>
        </w:rPr>
      </w:pPr>
      <w:r>
        <w:rPr>
          <w:rFonts w:hint="eastAsia" w:ascii="仿宋_GB2312" w:eastAsia="仿宋_GB2312"/>
          <w:sz w:val="32"/>
          <w:szCs w:val="32"/>
        </w:rPr>
        <w:t>有数量限制，受财政下达资金预算控制，视申报情况，我局据以对</w:t>
      </w:r>
      <w:r>
        <w:rPr>
          <w:rFonts w:ascii="仿宋_GB2312" w:eastAsia="仿宋_GB2312"/>
          <w:sz w:val="32"/>
          <w:szCs w:val="32"/>
        </w:rPr>
        <w:t>资助</w:t>
      </w:r>
      <w:r>
        <w:rPr>
          <w:rFonts w:hint="eastAsia" w:ascii="仿宋_GB2312" w:eastAsia="仿宋_GB2312"/>
          <w:sz w:val="32"/>
          <w:szCs w:val="32"/>
        </w:rPr>
        <w:t>金额和拨付进度等进行统一调整，申报单位应无条件同意调整结果。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ascii="仿宋_GB2312" w:eastAsia="仿宋_GB2312"/>
          <w:sz w:val="32"/>
          <w:szCs w:val="32"/>
        </w:rPr>
      </w:pPr>
      <w:r>
        <w:rPr>
          <w:rFonts w:ascii="仿宋_GB2312" w:eastAsia="仿宋_GB2312"/>
          <w:sz w:val="32"/>
          <w:szCs w:val="32"/>
        </w:rPr>
        <w:t>自愿申报，事后补贴</w:t>
      </w:r>
      <w:r>
        <w:rPr>
          <w:rFonts w:hint="eastAsia" w:ascii="仿宋_GB2312" w:eastAsia="仿宋_GB2312"/>
          <w:sz w:val="32"/>
          <w:szCs w:val="32"/>
        </w:rPr>
        <w:t>。</w:t>
      </w:r>
    </w:p>
    <w:p>
      <w:pPr>
        <w:numPr>
          <w:ilvl w:val="0"/>
          <w:numId w:val="1"/>
        </w:numPr>
        <w:spacing w:line="560" w:lineRule="exact"/>
        <w:ind w:firstLine="640"/>
        <w:rPr>
          <w:rFonts w:ascii="黑体" w:hAnsi="黑体" w:eastAsia="黑体" w:cs="黑体"/>
          <w:sz w:val="32"/>
          <w:szCs w:val="32"/>
        </w:rPr>
      </w:pPr>
      <w:r>
        <w:rPr>
          <w:rFonts w:ascii="黑体" w:hAnsi="黑体" w:eastAsia="黑体" w:cs="黑体"/>
          <w:sz w:val="32"/>
          <w:szCs w:val="32"/>
        </w:rPr>
        <w:t>申报条件</w:t>
      </w:r>
    </w:p>
    <w:p>
      <w:pPr>
        <w:pStyle w:val="4"/>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zCs w:val="32"/>
        </w:rPr>
        <w:t>（一）基础条件</w:t>
      </w:r>
    </w:p>
    <w:p>
      <w:pPr>
        <w:pStyle w:val="15"/>
        <w:snapToGrid/>
        <w:ind w:firstLine="640"/>
        <w:rPr>
          <w:rFonts w:ascii="仿宋_GB2312" w:eastAsia="仿宋_GB2312"/>
          <w:sz w:val="32"/>
          <w:szCs w:val="32"/>
        </w:rPr>
      </w:pPr>
      <w:r>
        <w:rPr>
          <w:rFonts w:hint="eastAsia" w:ascii="仿宋_GB2312" w:eastAsia="仿宋_GB2312"/>
          <w:sz w:val="32"/>
          <w:szCs w:val="32"/>
        </w:rPr>
        <w:t>1.申报主体为在深圳市（含深汕特别合作区，下同）依法登记注册</w:t>
      </w:r>
      <w:r>
        <w:rPr>
          <w:rFonts w:ascii="仿宋_GB2312" w:eastAsia="仿宋_GB2312"/>
          <w:sz w:val="32"/>
          <w:szCs w:val="32"/>
        </w:rPr>
        <w:t>，</w:t>
      </w:r>
      <w:r>
        <w:rPr>
          <w:rFonts w:hint="eastAsia" w:ascii="仿宋_GB2312" w:eastAsia="仿宋_GB2312"/>
          <w:sz w:val="32"/>
          <w:szCs w:val="32"/>
        </w:rPr>
        <w:t>具有独立法人资格的企业。</w:t>
      </w:r>
    </w:p>
    <w:p>
      <w:pPr>
        <w:pStyle w:val="15"/>
        <w:snapToGrid/>
        <w:ind w:firstLine="640"/>
        <w:rPr>
          <w:rFonts w:ascii="仿宋_GB2312" w:eastAsia="仿宋_GB2312"/>
          <w:sz w:val="32"/>
          <w:szCs w:val="32"/>
        </w:rPr>
      </w:pPr>
      <w:r>
        <w:rPr>
          <w:rFonts w:hint="eastAsia" w:ascii="仿宋_GB2312" w:eastAsia="仿宋_GB2312"/>
          <w:sz w:val="32"/>
          <w:szCs w:val="32"/>
        </w:rPr>
        <w:t>2.申报主体未被国家、省、市有关部门列入严重失信主体名单实施</w:t>
      </w:r>
      <w:r>
        <w:rPr>
          <w:rFonts w:ascii="仿宋_GB2312" w:eastAsia="仿宋_GB2312"/>
          <w:sz w:val="32"/>
          <w:szCs w:val="32"/>
        </w:rPr>
        <w:t>失信</w:t>
      </w:r>
      <w:r>
        <w:rPr>
          <w:rFonts w:hint="eastAsia" w:ascii="仿宋_GB2312" w:eastAsia="仿宋_GB2312"/>
          <w:sz w:val="32"/>
          <w:szCs w:val="32"/>
        </w:rPr>
        <w:t>惩戒，明确限制申请财政性资金项目，且在限制期内。</w:t>
      </w:r>
    </w:p>
    <w:p>
      <w:pPr>
        <w:pStyle w:val="15"/>
        <w:snapToGrid/>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申报主体应当对申报材料的真实性、合法性、完整性负责，应如实提供本单位信用状况，承担违约责任并作出承诺，不得弄虚作假、套取、骗取专项资金。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pStyle w:val="15"/>
        <w:snapToGrid/>
        <w:ind w:firstLine="640" w:firstLineChars="0"/>
        <w:jc w:val="both"/>
        <w:rPr>
          <w:rFonts w:ascii="仿宋_GB2312" w:hAnsi="仿宋_GB2312" w:eastAsia="仿宋_GB2312" w:cs="仿宋_GB2312"/>
          <w:sz w:val="32"/>
          <w:szCs w:val="32"/>
        </w:rPr>
      </w:pPr>
      <w:r>
        <w:rPr>
          <w:rFonts w:ascii="仿宋_GB2312" w:hAnsi="仿宋_GB2312" w:eastAsia="仿宋_GB2312" w:cs="仿宋_GB2312"/>
          <w:sz w:val="32"/>
          <w:szCs w:val="32"/>
        </w:rPr>
        <w:t>1.住宿餐饮业防疫消杀补贴项目：</w:t>
      </w:r>
      <w:r>
        <w:rPr>
          <w:rFonts w:hint="eastAsia" w:ascii="仿宋_GB2312" w:hAnsi="仿宋_GB2312" w:eastAsia="仿宋_GB2312" w:cs="仿宋_GB2312"/>
          <w:sz w:val="32"/>
          <w:szCs w:val="32"/>
        </w:rPr>
        <w:t>申报主体在</w:t>
      </w:r>
      <w:r>
        <w:rPr>
          <w:rFonts w:ascii="仿宋_GB2312" w:hAnsi="仿宋_GB2312" w:eastAsia="仿宋_GB2312" w:cs="仿宋_GB2312"/>
          <w:sz w:val="32"/>
          <w:szCs w:val="32"/>
        </w:rPr>
        <w:t>国民经济行业分类中属于住宿和餐饮业，以市市场监管局商事主体登记信息为准，并且具有相应经营许可。（其中星级酒店向市文化广电旅游体育局申请防疫消杀补贴，不列入本项目申报范围。）</w:t>
      </w:r>
    </w:p>
    <w:p>
      <w:pPr>
        <w:pStyle w:val="15"/>
        <w:snapToGrid/>
        <w:ind w:firstLine="641" w:firstLineChars="0"/>
        <w:jc w:val="both"/>
        <w:rPr>
          <w:rFonts w:ascii="仿宋_GB2312" w:hAnsi="仿宋_GB2312" w:eastAsia="仿宋_GB2312" w:cs="仿宋_GB2312"/>
          <w:sz w:val="32"/>
          <w:szCs w:val="32"/>
        </w:rPr>
      </w:pPr>
      <w:r>
        <w:rPr>
          <w:rFonts w:ascii="仿宋_GB2312" w:hAnsi="仿宋_GB2312" w:eastAsia="仿宋_GB2312" w:cs="仿宋_GB2312"/>
          <w:sz w:val="32"/>
          <w:szCs w:val="32"/>
        </w:rPr>
        <w:t>2.批发零售业防疫消杀补贴项目：</w:t>
      </w:r>
      <w:r>
        <w:rPr>
          <w:rFonts w:hint="eastAsia" w:ascii="仿宋_GB2312" w:hAnsi="仿宋_GB2312" w:eastAsia="仿宋_GB2312" w:cs="仿宋_GB2312"/>
          <w:sz w:val="32"/>
          <w:szCs w:val="32"/>
        </w:rPr>
        <w:t>申报主体在</w:t>
      </w:r>
      <w:r>
        <w:rPr>
          <w:rFonts w:ascii="仿宋_GB2312" w:hAnsi="仿宋_GB2312" w:eastAsia="仿宋_GB2312" w:cs="仿宋_GB2312"/>
          <w:sz w:val="32"/>
          <w:szCs w:val="32"/>
        </w:rPr>
        <w:t>国民经济行业分类中属于批发和零售业，以市市场监管局商事主体登记信息为准。</w:t>
      </w:r>
    </w:p>
    <w:p>
      <w:pPr>
        <w:pStyle w:val="15"/>
        <w:snapToGrid/>
        <w:ind w:firstLine="640"/>
        <w:rPr>
          <w:rFonts w:ascii="仿宋_GB2312" w:eastAsia="仿宋_GB2312"/>
          <w:b/>
          <w:bCs/>
          <w:sz w:val="32"/>
          <w:szCs w:val="32"/>
        </w:rPr>
      </w:pPr>
      <w:r>
        <w:rPr>
          <w:rFonts w:ascii="仿宋_GB2312" w:eastAsia="仿宋_GB2312"/>
          <w:sz w:val="32"/>
          <w:szCs w:val="32"/>
        </w:rPr>
        <w:t>注：</w:t>
      </w:r>
      <w:r>
        <w:rPr>
          <w:rFonts w:ascii="仿宋_GB2312" w:eastAsia="仿宋_GB2312"/>
          <w:b/>
          <w:bCs/>
          <w:sz w:val="32"/>
          <w:szCs w:val="32"/>
        </w:rPr>
        <w:t>以上统计时点为2022年3月31日24:00。</w:t>
      </w:r>
      <w:r>
        <w:rPr>
          <w:rFonts w:ascii="仿宋_GB2312" w:eastAsia="仿宋_GB2312"/>
          <w:sz w:val="32"/>
          <w:szCs w:val="32"/>
        </w:rPr>
        <w:t>住宿业经营许可以市公安局信息为准，餐饮业经营许可以市市场监管局信息为准。</w:t>
      </w:r>
    </w:p>
    <w:p>
      <w:pPr>
        <w:tabs>
          <w:tab w:val="center" w:pos="4153"/>
          <w:tab w:val="right" w:pos="8306"/>
        </w:tabs>
        <w:spacing w:line="560" w:lineRule="exact"/>
        <w:ind w:firstLine="645"/>
        <w:rPr>
          <w:rFonts w:ascii="楷体_GB2312" w:hAnsi="楷体_GB2312" w:eastAsia="楷体_GB2312" w:cs="楷体_GB2312"/>
        </w:rPr>
      </w:pPr>
      <w:r>
        <w:rPr>
          <w:rFonts w:ascii="黑体" w:hAnsi="黑体" w:eastAsia="黑体"/>
          <w:sz w:val="32"/>
          <w:szCs w:val="32"/>
        </w:rPr>
        <w:t>五</w:t>
      </w:r>
      <w:r>
        <w:rPr>
          <w:rFonts w:hint="eastAsia" w:ascii="黑体" w:hAnsi="黑体" w:eastAsia="黑体"/>
          <w:sz w:val="32"/>
          <w:szCs w:val="32"/>
        </w:rPr>
        <w:t>、支持内容和支持标准</w:t>
      </w:r>
    </w:p>
    <w:p>
      <w:pPr>
        <w:pStyle w:val="15"/>
        <w:snapToGrid/>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（一）支持内容</w:t>
      </w:r>
    </w:p>
    <w:p>
      <w:pPr>
        <w:pStyle w:val="15"/>
        <w:snapToGrid/>
        <w:ind w:firstLine="640"/>
        <w:rPr>
          <w:rFonts w:ascii="仿宋_GB2312" w:eastAsia="仿宋_GB2312"/>
          <w:sz w:val="32"/>
          <w:szCs w:val="32"/>
        </w:rPr>
      </w:pPr>
      <w:r>
        <w:rPr>
          <w:rFonts w:ascii="仿宋_GB2312" w:eastAsia="仿宋_GB2312"/>
          <w:sz w:val="32"/>
          <w:szCs w:val="32"/>
        </w:rPr>
        <w:t>对住宿餐饮业（星级酒店除外）、批发零售业的企业按照</w:t>
      </w:r>
      <w:r>
        <w:rPr>
          <w:rFonts w:ascii="仿宋_GB2312" w:eastAsia="仿宋_GB2312"/>
          <w:b/>
          <w:bCs/>
          <w:sz w:val="32"/>
          <w:szCs w:val="32"/>
        </w:rPr>
        <w:t>2022年3月企业实际缴纳社保人数</w:t>
      </w:r>
      <w:r>
        <w:rPr>
          <w:rFonts w:hint="eastAsia" w:ascii="仿宋_GB2312" w:eastAsia="仿宋_GB2312"/>
          <w:sz w:val="32"/>
          <w:szCs w:val="32"/>
        </w:rPr>
        <w:t>分档予以</w:t>
      </w:r>
      <w:r>
        <w:rPr>
          <w:rFonts w:ascii="仿宋_GB2312" w:eastAsia="仿宋_GB2312"/>
          <w:sz w:val="32"/>
          <w:szCs w:val="32"/>
        </w:rPr>
        <w:t>防疫</w:t>
      </w:r>
      <w:r>
        <w:rPr>
          <w:rFonts w:hint="eastAsia" w:ascii="仿宋_GB2312" w:eastAsia="仿宋_GB2312"/>
          <w:sz w:val="32"/>
          <w:szCs w:val="32"/>
        </w:rPr>
        <w:t>物资、消杀服务</w:t>
      </w:r>
      <w:r>
        <w:rPr>
          <w:rFonts w:ascii="仿宋_GB2312" w:eastAsia="仿宋_GB2312"/>
          <w:sz w:val="32"/>
          <w:szCs w:val="32"/>
        </w:rPr>
        <w:t>等支出补贴。</w:t>
      </w:r>
    </w:p>
    <w:p>
      <w:pPr>
        <w:pStyle w:val="15"/>
        <w:snapToGrid/>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（二）支持标准</w:t>
      </w:r>
    </w:p>
    <w:p>
      <w:pPr>
        <w:pStyle w:val="15"/>
        <w:snapToGrid/>
        <w:ind w:firstLine="640"/>
        <w:rPr>
          <w:rFonts w:ascii="仿宋_GB2312" w:eastAsia="仿宋_GB2312"/>
          <w:sz w:val="32"/>
          <w:szCs w:val="32"/>
        </w:rPr>
      </w:pPr>
      <w:r>
        <w:rPr>
          <w:rFonts w:ascii="仿宋_GB2312" w:eastAsia="仿宋_GB2312"/>
          <w:sz w:val="32"/>
          <w:szCs w:val="32"/>
        </w:rPr>
        <w:t>1.住宿餐饮业防疫消杀补贴项目：对住宿餐饮业（星级酒店除外）的企业2022年3月企业实际缴纳社保人数核定为20-49人的，补贴金额3万元；50-299人的，补贴金额5万元；300人及以上的，补贴金额10万元。</w:t>
      </w:r>
    </w:p>
    <w:p>
      <w:pPr>
        <w:pStyle w:val="15"/>
        <w:snapToGrid/>
        <w:ind w:firstLine="640"/>
        <w:rPr>
          <w:rFonts w:ascii="仿宋_GB2312" w:eastAsia="仿宋_GB2312"/>
          <w:sz w:val="32"/>
          <w:szCs w:val="32"/>
        </w:rPr>
      </w:pPr>
      <w:r>
        <w:rPr>
          <w:rFonts w:ascii="仿宋_GB2312" w:eastAsia="仿宋_GB2312"/>
          <w:sz w:val="32"/>
          <w:szCs w:val="32"/>
        </w:rPr>
        <w:t>2.批发零售业防疫消杀补贴项目：对批发零售业的企业2022年3月企业实际缴纳社保人数核定为20-99人的，补贴金额0.5万元；100-299人的，补贴金额3万元；300-999人的，补贴金额5万元；1000人及以上的，补贴金额10万元。</w:t>
      </w:r>
    </w:p>
    <w:p>
      <w:pPr>
        <w:pStyle w:val="15"/>
        <w:snapToGrid/>
        <w:ind w:firstLine="640"/>
        <w:rPr>
          <w:rFonts w:ascii="仿宋_GB2312" w:eastAsia="仿宋_GB2312"/>
          <w:b/>
          <w:bCs/>
          <w:sz w:val="32"/>
          <w:szCs w:val="32"/>
        </w:rPr>
      </w:pPr>
      <w:r>
        <w:rPr>
          <w:rFonts w:ascii="仿宋_GB2312" w:eastAsia="仿宋_GB2312"/>
          <w:b/>
          <w:bCs/>
          <w:sz w:val="32"/>
          <w:szCs w:val="32"/>
        </w:rPr>
        <w:t>企业实际缴纳社保人数以企业2022年3月在深圳市人力资源保障局实际缴纳失业保险人数为准。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ascii="黑体" w:hAnsi="黑体" w:eastAsia="黑体"/>
          <w:sz w:val="32"/>
          <w:szCs w:val="32"/>
        </w:rPr>
        <w:t>、</w:t>
      </w:r>
      <w:r>
        <w:rPr>
          <w:rFonts w:hint="eastAsia" w:ascii="黑体" w:hAnsi="黑体" w:eastAsia="黑体"/>
          <w:sz w:val="32"/>
          <w:szCs w:val="32"/>
        </w:rPr>
        <w:t>受理机关</w:t>
      </w:r>
    </w:p>
    <w:p>
      <w:pPr>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（一）受理机关：</w:t>
      </w:r>
      <w:r>
        <w:rPr>
          <w:rFonts w:ascii="Times New Roman" w:hAnsi="Times New Roman" w:eastAsia="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highlight w:val="yellow"/>
        </w:rPr>
        <w:t>网络</w:t>
      </w:r>
      <w:r>
        <w:rPr>
          <w:rFonts w:ascii="仿宋_GB2312" w:hAnsi="宋体" w:eastAsia="仿宋_GB2312"/>
          <w:sz w:val="32"/>
          <w:szCs w:val="32"/>
          <w:highlight w:val="yellow"/>
        </w:rPr>
        <w:t>填报</w:t>
      </w:r>
      <w:r>
        <w:rPr>
          <w:rFonts w:hint="eastAsia" w:ascii="Times New Roman" w:hAnsi="Times New Roman" w:eastAsia="仿宋_GB2312"/>
          <w:sz w:val="32"/>
          <w:szCs w:val="32"/>
          <w:highlight w:val="yellow"/>
        </w:rPr>
        <w:t>时间</w:t>
      </w:r>
      <w:r>
        <w:rPr>
          <w:rFonts w:ascii="Times New Roman" w:hAnsi="Times New Roman" w:eastAsia="仿宋_GB2312"/>
          <w:sz w:val="32"/>
          <w:szCs w:val="32"/>
          <w:highlight w:val="yellow"/>
        </w:rPr>
        <w:t>（第二批）</w:t>
      </w:r>
      <w:r>
        <w:rPr>
          <w:rFonts w:hint="eastAsia" w:ascii="Times New Roman" w:hAnsi="Times New Roman" w:eastAsia="仿宋_GB2312"/>
          <w:sz w:val="32"/>
          <w:szCs w:val="32"/>
          <w:highlight w:val="yellow"/>
        </w:rPr>
        <w:t>：</w:t>
      </w:r>
      <w:r>
        <w:rPr>
          <w:rFonts w:hint="eastAsia" w:ascii="仿宋_GB2312" w:hAnsi="宋体" w:eastAsia="仿宋_GB2312"/>
          <w:sz w:val="32"/>
          <w:szCs w:val="32"/>
          <w:highlight w:val="yellow"/>
        </w:rPr>
        <w:t>202</w:t>
      </w:r>
      <w:r>
        <w:rPr>
          <w:rFonts w:ascii="仿宋_GB2312" w:hAnsi="宋体" w:eastAsia="仿宋_GB2312"/>
          <w:sz w:val="32"/>
          <w:szCs w:val="32"/>
          <w:highlight w:val="yellow"/>
        </w:rPr>
        <w:t>2</w:t>
      </w:r>
      <w:r>
        <w:rPr>
          <w:rFonts w:hint="eastAsia" w:ascii="仿宋_GB2312" w:hAnsi="宋体" w:eastAsia="仿宋_GB2312"/>
          <w:sz w:val="32"/>
          <w:szCs w:val="32"/>
          <w:highlight w:val="yellow"/>
        </w:rPr>
        <w:t>年</w:t>
      </w:r>
      <w:r>
        <w:rPr>
          <w:rFonts w:ascii="仿宋_GB2312" w:hAnsi="宋体" w:eastAsia="仿宋_GB2312"/>
          <w:sz w:val="32"/>
          <w:szCs w:val="32"/>
          <w:highlight w:val="yellow"/>
        </w:rPr>
        <w:t>7</w:t>
      </w:r>
      <w:r>
        <w:rPr>
          <w:rFonts w:hint="eastAsia" w:ascii="仿宋_GB2312" w:hAnsi="宋体" w:eastAsia="仿宋_GB2312"/>
          <w:sz w:val="32"/>
          <w:szCs w:val="32"/>
          <w:highlight w:val="yellow"/>
        </w:rPr>
        <w:t>月</w:t>
      </w:r>
      <w:r>
        <w:rPr>
          <w:rFonts w:ascii="仿宋_GB2312" w:hAnsi="宋体" w:eastAsia="仿宋_GB2312"/>
          <w:sz w:val="32"/>
          <w:szCs w:val="32"/>
          <w:highlight w:val="yellow"/>
        </w:rPr>
        <w:t>25</w:t>
      </w:r>
      <w:r>
        <w:rPr>
          <w:rFonts w:hint="eastAsia" w:ascii="仿宋_GB2312" w:hAnsi="宋体" w:eastAsia="仿宋_GB2312"/>
          <w:sz w:val="32"/>
          <w:szCs w:val="32"/>
          <w:highlight w:val="yellow"/>
        </w:rPr>
        <w:t>日—202</w:t>
      </w:r>
      <w:r>
        <w:rPr>
          <w:rFonts w:ascii="仿宋_GB2312" w:hAnsi="宋体" w:eastAsia="仿宋_GB2312"/>
          <w:sz w:val="32"/>
          <w:szCs w:val="32"/>
          <w:highlight w:val="yellow"/>
        </w:rPr>
        <w:t>2</w:t>
      </w:r>
      <w:r>
        <w:rPr>
          <w:rFonts w:hint="eastAsia" w:ascii="仿宋_GB2312" w:hAnsi="宋体" w:eastAsia="仿宋_GB2312"/>
          <w:sz w:val="32"/>
          <w:szCs w:val="32"/>
          <w:highlight w:val="yellow"/>
        </w:rPr>
        <w:t>年</w:t>
      </w:r>
      <w:r>
        <w:rPr>
          <w:rFonts w:ascii="仿宋_GB2312" w:hAnsi="宋体" w:eastAsia="仿宋_GB2312"/>
          <w:sz w:val="32"/>
          <w:szCs w:val="32"/>
          <w:highlight w:val="yellow"/>
        </w:rPr>
        <w:t>8</w:t>
      </w:r>
      <w:r>
        <w:rPr>
          <w:rFonts w:hint="eastAsia" w:ascii="仿宋_GB2312" w:hAnsi="宋体" w:eastAsia="仿宋_GB2312"/>
          <w:sz w:val="32"/>
          <w:szCs w:val="32"/>
          <w:highlight w:val="yellow"/>
        </w:rPr>
        <w:t>月</w:t>
      </w:r>
      <w:r>
        <w:rPr>
          <w:rFonts w:ascii="仿宋_GB2312" w:hAnsi="宋体" w:eastAsia="仿宋_GB2312"/>
          <w:sz w:val="32"/>
          <w:szCs w:val="32"/>
          <w:highlight w:val="yellow"/>
        </w:rPr>
        <w:t>1</w:t>
      </w:r>
      <w:r>
        <w:rPr>
          <w:rFonts w:hint="eastAsia" w:ascii="仿宋_GB2312" w:hAnsi="宋体" w:eastAsia="仿宋_GB2312"/>
          <w:sz w:val="32"/>
          <w:szCs w:val="32"/>
          <w:highlight w:val="yellow"/>
        </w:rPr>
        <w:t>日</w:t>
      </w:r>
      <w:r>
        <w:rPr>
          <w:rFonts w:ascii="仿宋_GB2312" w:hAnsi="宋体" w:eastAsia="仿宋_GB2312"/>
          <w:sz w:val="32"/>
          <w:szCs w:val="32"/>
          <w:highlight w:val="yellow"/>
        </w:rPr>
        <w:t>18:00</w:t>
      </w:r>
      <w:r>
        <w:rPr>
          <w:rFonts w:hint="eastAsia" w:ascii="仿宋_GB2312" w:hAnsi="宋体" w:eastAsia="仿宋_GB2312"/>
          <w:sz w:val="32"/>
          <w:szCs w:val="32"/>
          <w:highlight w:val="yellow"/>
        </w:rPr>
        <w:t>。</w:t>
      </w:r>
    </w:p>
    <w:p>
      <w:pPr>
        <w:spacing w:line="560" w:lineRule="exact"/>
        <w:ind w:firstLine="640" w:firstLineChars="200"/>
      </w:pPr>
      <w:r>
        <w:rPr>
          <w:rFonts w:hint="eastAsia" w:ascii="仿宋_GB2312" w:hAnsi="宋体" w:eastAsia="仿宋_GB2312"/>
          <w:sz w:val="32"/>
          <w:szCs w:val="32"/>
        </w:rPr>
        <w:t>申报单位在上述规定时间内在线填报，逾期不予受理。（注意事项：网络填报时间截止后系统将不再受理新申请以及修改后再次提交的申请，故请</w:t>
      </w:r>
      <w:r>
        <w:rPr>
          <w:rFonts w:ascii="仿宋_GB2312" w:hAnsi="宋体" w:eastAsia="仿宋_GB2312"/>
          <w:sz w:val="32"/>
          <w:szCs w:val="32"/>
        </w:rPr>
        <w:t>尽量尽早申请，以便预留</w:t>
      </w:r>
      <w:r>
        <w:rPr>
          <w:rFonts w:hint="eastAsia" w:ascii="仿宋_GB2312" w:hAnsi="宋体" w:eastAsia="仿宋_GB2312"/>
          <w:sz w:val="32"/>
          <w:szCs w:val="32"/>
        </w:rPr>
        <w:t>充足的</w:t>
      </w:r>
      <w:r>
        <w:rPr>
          <w:rFonts w:ascii="仿宋_GB2312" w:hAnsi="宋体" w:eastAsia="仿宋_GB2312"/>
          <w:sz w:val="32"/>
          <w:szCs w:val="32"/>
        </w:rPr>
        <w:t>审核和</w:t>
      </w:r>
      <w:r>
        <w:rPr>
          <w:rFonts w:hint="eastAsia" w:ascii="仿宋_GB2312" w:hAnsi="宋体" w:eastAsia="仿宋_GB2312"/>
          <w:sz w:val="32"/>
          <w:szCs w:val="32"/>
        </w:rPr>
        <w:t>修改时间）</w:t>
      </w:r>
      <w:r>
        <w:rPr>
          <w:rFonts w:ascii="仿宋_GB2312" w:hAnsi="宋体" w:eastAsia="仿宋_GB2312"/>
          <w:sz w:val="32"/>
          <w:szCs w:val="32"/>
        </w:rPr>
        <w:t>。</w:t>
      </w:r>
    </w:p>
    <w:sectPr>
      <w:footerReference r:id="rId3" w:type="default"/>
      <w:pgSz w:w="11906" w:h="16838"/>
      <w:pgMar w:top="1814" w:right="1474" w:bottom="181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pPr>
                      <w:pStyle w:val="5"/>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BD77"/>
    <w:multiLevelType w:val="singleLevel"/>
    <w:tmpl w:val="EFD6BD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5DDA708C"/>
    <w:rsid w:val="008B56ED"/>
    <w:rsid w:val="009D462F"/>
    <w:rsid w:val="0B99C1B3"/>
    <w:rsid w:val="0BDF01B5"/>
    <w:rsid w:val="0DFF44B4"/>
    <w:rsid w:val="13FE0BC6"/>
    <w:rsid w:val="1ABDEC4F"/>
    <w:rsid w:val="1DF2DA6E"/>
    <w:rsid w:val="1F67E500"/>
    <w:rsid w:val="1FF7A8D6"/>
    <w:rsid w:val="276B87F5"/>
    <w:rsid w:val="2C7E3B57"/>
    <w:rsid w:val="2DFF0FAE"/>
    <w:rsid w:val="2FAF3291"/>
    <w:rsid w:val="357F32D3"/>
    <w:rsid w:val="3759354C"/>
    <w:rsid w:val="3BEFB042"/>
    <w:rsid w:val="3BF69EC7"/>
    <w:rsid w:val="3BFBEAAD"/>
    <w:rsid w:val="3CF6D6CE"/>
    <w:rsid w:val="3EEFAD00"/>
    <w:rsid w:val="3F358FCD"/>
    <w:rsid w:val="3FD22CD9"/>
    <w:rsid w:val="3FEED79C"/>
    <w:rsid w:val="439CE09B"/>
    <w:rsid w:val="4F7C083D"/>
    <w:rsid w:val="4FBE3F14"/>
    <w:rsid w:val="59FB5F0A"/>
    <w:rsid w:val="5B1C36F9"/>
    <w:rsid w:val="5BF5A3D3"/>
    <w:rsid w:val="5DDA708C"/>
    <w:rsid w:val="5F2FB827"/>
    <w:rsid w:val="5F5E6917"/>
    <w:rsid w:val="5F7B00F1"/>
    <w:rsid w:val="69F33A28"/>
    <w:rsid w:val="6BAFF8B0"/>
    <w:rsid w:val="6DE7A3BD"/>
    <w:rsid w:val="6E5DEC46"/>
    <w:rsid w:val="6F1B953A"/>
    <w:rsid w:val="6F5F00BD"/>
    <w:rsid w:val="6F77D8E4"/>
    <w:rsid w:val="6F7F6447"/>
    <w:rsid w:val="6FA96500"/>
    <w:rsid w:val="6FDF3BC2"/>
    <w:rsid w:val="6FF73409"/>
    <w:rsid w:val="6FF9A841"/>
    <w:rsid w:val="71EFEEEF"/>
    <w:rsid w:val="724B44B1"/>
    <w:rsid w:val="73391C4F"/>
    <w:rsid w:val="737BA565"/>
    <w:rsid w:val="759F2A8A"/>
    <w:rsid w:val="75D54870"/>
    <w:rsid w:val="7629E3DD"/>
    <w:rsid w:val="76FDBB1A"/>
    <w:rsid w:val="770A3B58"/>
    <w:rsid w:val="77DF3A7D"/>
    <w:rsid w:val="77FF0637"/>
    <w:rsid w:val="7B5B84A2"/>
    <w:rsid w:val="7B7EB4EF"/>
    <w:rsid w:val="7BEAB913"/>
    <w:rsid w:val="7BF4B4DB"/>
    <w:rsid w:val="7BFDF4E1"/>
    <w:rsid w:val="7D7EAFC5"/>
    <w:rsid w:val="7E559887"/>
    <w:rsid w:val="7E79881A"/>
    <w:rsid w:val="7EEB162C"/>
    <w:rsid w:val="7F5F16E6"/>
    <w:rsid w:val="7FA7076D"/>
    <w:rsid w:val="7FDE6BC5"/>
    <w:rsid w:val="7FEA837A"/>
    <w:rsid w:val="7FED62FE"/>
    <w:rsid w:val="7FFF563B"/>
    <w:rsid w:val="7FFFB436"/>
    <w:rsid w:val="7FFFD193"/>
    <w:rsid w:val="8EFFDD07"/>
    <w:rsid w:val="8FDFB217"/>
    <w:rsid w:val="8FFBB56D"/>
    <w:rsid w:val="97F6B6E3"/>
    <w:rsid w:val="9DEB4A9B"/>
    <w:rsid w:val="AA334C4C"/>
    <w:rsid w:val="BB5B6057"/>
    <w:rsid w:val="BBFA8279"/>
    <w:rsid w:val="BD772DEC"/>
    <w:rsid w:val="BEBF20C2"/>
    <w:rsid w:val="BF3F7230"/>
    <w:rsid w:val="C3BF0195"/>
    <w:rsid w:val="C93750E8"/>
    <w:rsid w:val="CBDFB0F8"/>
    <w:rsid w:val="CF9F3306"/>
    <w:rsid w:val="CFD6F28F"/>
    <w:rsid w:val="CFF2D478"/>
    <w:rsid w:val="D17F984E"/>
    <w:rsid w:val="D7BFC88D"/>
    <w:rsid w:val="DBF54ED9"/>
    <w:rsid w:val="DCBABCBC"/>
    <w:rsid w:val="DF8EA9D3"/>
    <w:rsid w:val="DF9F26F1"/>
    <w:rsid w:val="E9F6A5B1"/>
    <w:rsid w:val="EBE7BC92"/>
    <w:rsid w:val="ED46619B"/>
    <w:rsid w:val="EECC8172"/>
    <w:rsid w:val="EEFD783D"/>
    <w:rsid w:val="EF6FB16E"/>
    <w:rsid w:val="F3FBA76D"/>
    <w:rsid w:val="F44969FB"/>
    <w:rsid w:val="F574CA87"/>
    <w:rsid w:val="F7753DE8"/>
    <w:rsid w:val="F7B799CA"/>
    <w:rsid w:val="F7F3300A"/>
    <w:rsid w:val="F9E95ACD"/>
    <w:rsid w:val="F9F59623"/>
    <w:rsid w:val="F9FA81E4"/>
    <w:rsid w:val="F9FD9928"/>
    <w:rsid w:val="FADB82C3"/>
    <w:rsid w:val="FB479AD4"/>
    <w:rsid w:val="FBF31FAC"/>
    <w:rsid w:val="FBF7A473"/>
    <w:rsid w:val="FCB754CC"/>
    <w:rsid w:val="FD770B34"/>
    <w:rsid w:val="FDB31FBB"/>
    <w:rsid w:val="FDB50B03"/>
    <w:rsid w:val="FDCFF790"/>
    <w:rsid w:val="FDDFD8A7"/>
    <w:rsid w:val="FDFE9BEB"/>
    <w:rsid w:val="FE3752EF"/>
    <w:rsid w:val="FE7F8497"/>
    <w:rsid w:val="FEEFF6C7"/>
    <w:rsid w:val="FF7D9110"/>
    <w:rsid w:val="FF7F99F5"/>
    <w:rsid w:val="FFAEDDEC"/>
    <w:rsid w:val="FFBCF060"/>
    <w:rsid w:val="FFCF62C5"/>
    <w:rsid w:val="FFD7FDAA"/>
    <w:rsid w:val="FFF706DF"/>
    <w:rsid w:val="FFFBF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4">
    <w:name w:val="Body Text"/>
    <w:basedOn w:val="1"/>
    <w:next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0"/>
    <w:rPr>
      <w:rFonts w:ascii="仿宋_GB2312" w:hAnsi="仿宋_GB2312" w:cs="仿宋_GB2312"/>
      <w:szCs w:val="32"/>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widowControl/>
      <w:spacing w:before="60" w:line="432" w:lineRule="atLeast"/>
      <w:jc w:val="left"/>
    </w:pPr>
    <w:rPr>
      <w:rFonts w:ascii="宋体" w:hAnsi="宋体" w:cs="宋体"/>
      <w:kern w:val="0"/>
      <w:sz w:val="24"/>
    </w:rPr>
  </w:style>
  <w:style w:type="character" w:styleId="12">
    <w:name w:val="Hyperlink"/>
    <w:basedOn w:val="11"/>
    <w:qFormat/>
    <w:uiPriority w:val="0"/>
    <w:rPr>
      <w:color w:val="0000FF"/>
      <w:u w:val="single"/>
    </w:rPr>
  </w:style>
  <w:style w:type="character" w:styleId="13">
    <w:name w:val="footnote reference"/>
    <w:qFormat/>
    <w:uiPriority w:val="0"/>
    <w:rPr>
      <w:vertAlign w:val="superscript"/>
    </w:rPr>
  </w:style>
  <w:style w:type="paragraph" w:customStyle="1" w:styleId="14">
    <w:name w:val="文件标题"/>
    <w:basedOn w:val="1"/>
    <w:qFormat/>
    <w:uiPriority w:val="0"/>
    <w:pPr>
      <w:jc w:val="center"/>
    </w:pPr>
    <w:rPr>
      <w:b/>
      <w:sz w:val="36"/>
    </w:rPr>
  </w:style>
  <w:style w:type="paragraph" w:customStyle="1" w:styleId="15">
    <w:name w:val="文件正文"/>
    <w:basedOn w:val="5"/>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1165</Words>
  <Characters>1244</Characters>
  <Lines>15</Lines>
  <Paragraphs>4</Paragraphs>
  <TotalTime>18</TotalTime>
  <ScaleCrop>false</ScaleCrop>
  <LinksUpToDate>false</LinksUpToDate>
  <CharactersWithSpaces>1244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2022-03-18T07:01:00Z</dcterms:created>
  <dc:creator>86151</dc:creator>
  <cp:lastModifiedBy>A姬艳丽</cp:lastModifiedBy>
  <dcterms:modified xsi:type="dcterms:W3CDTF">2022-07-26T09:51:12Z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8B112A73C997479CA5C9086173F1FBA0</vt:lpwstr>
  </property>
</Properties>
</file>