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0" w:afterAutospacing="0" w:line="600" w:lineRule="exact"/>
        <w:ind w:left="0" w:right="0" w:firstLine="1800" w:firstLineChars="500"/>
        <w:jc w:val="both"/>
        <w:rPr>
          <w:rFonts w:hint="eastAsia" w:ascii="微软雅黑" w:hAnsi="微软雅黑" w:eastAsia="微软雅黑" w:cs="微软雅黑"/>
          <w:kern w:val="2"/>
          <w:sz w:val="36"/>
          <w:szCs w:val="36"/>
          <w:highlight w:val="none"/>
        </w:rPr>
      </w:pPr>
      <w:r>
        <w:rPr>
          <w:rFonts w:hint="eastAsia" w:ascii="微软雅黑" w:hAnsi="微软雅黑" w:eastAsia="微软雅黑" w:cs="微软雅黑"/>
          <w:kern w:val="2"/>
          <w:sz w:val="36"/>
          <w:szCs w:val="36"/>
          <w:highlight w:val="none"/>
        </w:rPr>
        <w:t>202</w:t>
      </w:r>
      <w:r>
        <w:rPr>
          <w:rFonts w:hint="eastAsia" w:ascii="微软雅黑" w:hAnsi="微软雅黑" w:eastAsia="微软雅黑" w:cs="微软雅黑"/>
          <w:kern w:val="2"/>
          <w:sz w:val="36"/>
          <w:szCs w:val="36"/>
          <w:highlight w:val="none"/>
          <w:lang w:val="en-US" w:eastAsia="zh-CN"/>
        </w:rPr>
        <w:t>4</w:t>
      </w:r>
      <w:r>
        <w:rPr>
          <w:rFonts w:hint="eastAsia" w:ascii="微软雅黑" w:hAnsi="微软雅黑" w:eastAsia="微软雅黑" w:cs="微软雅黑"/>
          <w:kern w:val="2"/>
          <w:sz w:val="36"/>
          <w:szCs w:val="36"/>
          <w:highlight w:val="none"/>
        </w:rPr>
        <w:t>年优秀新型业态文化企业</w:t>
      </w:r>
    </w:p>
    <w:p>
      <w:pPr>
        <w:pStyle w:val="7"/>
        <w:keepNext w:val="0"/>
        <w:keepLines w:val="0"/>
        <w:widowControl/>
        <w:suppressLineNumbers w:val="0"/>
        <w:spacing w:before="0" w:beforeAutospacing="0" w:after="0" w:afterAutospacing="0" w:line="600" w:lineRule="exact"/>
        <w:ind w:left="0" w:right="0" w:firstLine="0"/>
        <w:jc w:val="center"/>
        <w:rPr>
          <w:rFonts w:hint="eastAsia" w:ascii="微软雅黑" w:hAnsi="微软雅黑" w:eastAsia="微软雅黑" w:cs="微软雅黑"/>
          <w:sz w:val="36"/>
          <w:szCs w:val="36"/>
          <w:highlight w:val="none"/>
        </w:rPr>
      </w:pPr>
      <w:r>
        <w:rPr>
          <w:rFonts w:hint="eastAsia" w:ascii="微软雅黑" w:hAnsi="微软雅黑" w:eastAsia="微软雅黑" w:cs="微软雅黑"/>
          <w:kern w:val="2"/>
          <w:sz w:val="36"/>
          <w:szCs w:val="36"/>
          <w:highlight w:val="none"/>
        </w:rPr>
        <w:t>认定奖励申报指南</w:t>
      </w:r>
    </w:p>
    <w:p>
      <w:pPr>
        <w:spacing w:line="560" w:lineRule="exact"/>
        <w:ind w:firstLine="280" w:firstLineChars="1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一、设定依据</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（一）《深圳市文化产业发展专项资金资助办法》（深府规〔2020〕2号）；</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（二）《深圳市文化广电旅游体育局文化产业发展专项资金扶持计划操作规程》（深文规〔202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号）；</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（三）《深圳市文化和体育产业专项资金管理办法》（深文规〔2020〕2号</w:t>
      </w:r>
      <w:r>
        <w:rPr>
          <w:rFonts w:hint="eastAsia" w:ascii="微软雅黑" w:hAnsi="微软雅黑" w:eastAsia="微软雅黑" w:cs="微软雅黑"/>
          <w:sz w:val="28"/>
          <w:szCs w:val="28"/>
          <w:highlight w:val="none"/>
        </w:rPr>
        <w:t>）</w:t>
      </w:r>
      <w:r>
        <w:rPr>
          <w:rFonts w:hint="eastAsia" w:ascii="微软雅黑" w:hAnsi="微软雅黑" w:eastAsia="微软雅黑" w:cs="微软雅黑"/>
          <w:sz w:val="28"/>
          <w:szCs w:val="28"/>
          <w:highlight w:val="none"/>
        </w:rPr>
        <w:t>。</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二、支持对象</w:t>
      </w:r>
    </w:p>
    <w:p>
      <w:pPr>
        <w:pStyle w:val="6"/>
        <w:widowControl/>
        <w:shd w:val="clear" w:fill="FFFFFF"/>
        <w:spacing w:line="560" w:lineRule="exact"/>
        <w:ind w:firstLine="560" w:firstLineChars="200"/>
        <w:jc w:val="left"/>
        <w:rPr>
          <w:rFonts w:hint="eastAsia" w:ascii="微软雅黑" w:hAnsi="微软雅黑" w:eastAsia="微软雅黑" w:cs="微软雅黑"/>
          <w:sz w:val="28"/>
          <w:szCs w:val="28"/>
          <w:highlight w:val="none"/>
        </w:rPr>
      </w:pPr>
      <w:r>
        <w:rPr>
          <w:rFonts w:hint="eastAsia" w:ascii="微软雅黑" w:hAnsi="微软雅黑" w:eastAsia="微软雅黑" w:cs="微软雅黑"/>
          <w:b w:val="0"/>
          <w:i w:val="0"/>
          <w:caps w:val="0"/>
          <w:spacing w:val="0"/>
          <w:sz w:val="28"/>
          <w:szCs w:val="28"/>
          <w:highlight w:val="none"/>
          <w:shd w:val="clear"/>
        </w:rPr>
        <w:t>本扶持计划资助对象是在深圳市行政区域内从事文化产业开发、生产经营和中介、研究活动的单位（主营业务属国家统计局《文化及相关产业分类（2018）》范围），并已在深圳市文化产业发展专项资金网上申报系统注册并提交企业基本信息，经审核认定为文化产业经营单位。</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三、申报条件</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（一）申报单位具备《深圳市文化广电旅游体育局文化产业发展专项资金扶持计划操作规程》第四条规定的基本条件。</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（二）</w:t>
      </w:r>
      <w:r>
        <w:rPr>
          <w:rFonts w:hint="eastAsia" w:ascii="微软雅黑" w:hAnsi="微软雅黑" w:eastAsia="微软雅黑" w:cs="微软雅黑"/>
          <w:sz w:val="28"/>
          <w:szCs w:val="28"/>
          <w:highlight w:val="none"/>
        </w:rPr>
        <w:t>企业业态具有文化与科技、创意、旅游及其他领域融合发展和业态创新的典型特征</w:t>
      </w:r>
      <w:r>
        <w:rPr>
          <w:rFonts w:hint="eastAsia" w:ascii="微软雅黑" w:hAnsi="微软雅黑" w:eastAsia="微软雅黑" w:cs="微软雅黑"/>
          <w:sz w:val="28"/>
          <w:szCs w:val="28"/>
          <w:highlight w:val="none"/>
          <w:lang w:eastAsia="zh-CN"/>
        </w:rPr>
        <w:t>，重点支持数字创意领域业态创新</w:t>
      </w:r>
      <w:r>
        <w:rPr>
          <w:rFonts w:hint="eastAsia" w:ascii="微软雅黑" w:hAnsi="微软雅黑" w:eastAsia="微软雅黑" w:cs="微软雅黑"/>
          <w:sz w:val="28"/>
          <w:szCs w:val="28"/>
          <w:highlight w:val="none"/>
        </w:rPr>
        <w:t>。</w:t>
      </w:r>
    </w:p>
    <w:p>
      <w:pPr>
        <w:spacing w:line="560" w:lineRule="exact"/>
        <w:ind w:firstLine="560" w:firstLineChars="200"/>
        <w:rPr>
          <w:rFonts w:hint="eastAsia" w:ascii="微软雅黑" w:hAnsi="微软雅黑" w:eastAsia="微软雅黑" w:cs="微软雅黑"/>
          <w:color w:val="040404"/>
          <w:kern w:val="0"/>
          <w:sz w:val="28"/>
          <w:szCs w:val="28"/>
          <w:highlight w:val="none"/>
        </w:rPr>
      </w:pPr>
      <w:r>
        <w:rPr>
          <w:rFonts w:hint="eastAsia" w:ascii="微软雅黑" w:hAnsi="微软雅黑" w:eastAsia="微软雅黑" w:cs="微软雅黑"/>
          <w:sz w:val="28"/>
          <w:szCs w:val="28"/>
          <w:highlight w:val="none"/>
        </w:rPr>
        <w:t>（三）</w:t>
      </w:r>
      <w:r>
        <w:rPr>
          <w:rFonts w:hint="eastAsia" w:ascii="微软雅黑" w:hAnsi="微软雅黑" w:eastAsia="微软雅黑" w:cs="微软雅黑"/>
          <w:sz w:val="28"/>
          <w:szCs w:val="28"/>
          <w:highlight w:val="none"/>
        </w:rPr>
        <w:t>企业上一年度</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lang w:val="en-US" w:eastAsia="zh-CN"/>
        </w:rPr>
        <w:t>20</w:t>
      </w:r>
      <w:r>
        <w:rPr>
          <w:rFonts w:hint="eastAsia" w:ascii="微软雅黑" w:hAnsi="微软雅黑" w:eastAsia="微软雅黑" w:cs="微软雅黑"/>
          <w:sz w:val="28"/>
          <w:szCs w:val="28"/>
          <w:highlight w:val="none"/>
          <w:lang w:val="en" w:eastAsia="zh-CN"/>
        </w:rPr>
        <w:t>2</w:t>
      </w:r>
      <w:r>
        <w:rPr>
          <w:rFonts w:hint="eastAsia" w:ascii="微软雅黑" w:hAnsi="微软雅黑" w:eastAsia="微软雅黑" w:cs="微软雅黑"/>
          <w:sz w:val="28"/>
          <w:szCs w:val="28"/>
          <w:highlight w:val="none"/>
          <w:lang w:val="en-US" w:eastAsia="zh-CN"/>
        </w:rPr>
        <w:t>3</w:t>
      </w:r>
      <w:r>
        <w:rPr>
          <w:rFonts w:hint="eastAsia" w:ascii="微软雅黑" w:hAnsi="微软雅黑" w:eastAsia="微软雅黑" w:cs="微软雅黑"/>
          <w:sz w:val="28"/>
          <w:szCs w:val="28"/>
          <w:highlight w:val="none"/>
          <w:lang w:val="en" w:eastAsia="zh-CN"/>
        </w:rPr>
        <w:t>年</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主营业务收入不低于1000万元。</w:t>
      </w:r>
    </w:p>
    <w:p>
      <w:pPr>
        <w:spacing w:line="560" w:lineRule="exact"/>
        <w:ind w:firstLine="560" w:firstLineChars="200"/>
        <w:rPr>
          <w:rFonts w:hint="eastAsia" w:ascii="微软雅黑" w:hAnsi="微软雅黑" w:eastAsia="微软雅黑" w:cs="微软雅黑"/>
          <w:color w:val="040404"/>
          <w:kern w:val="0"/>
          <w:sz w:val="28"/>
          <w:szCs w:val="28"/>
          <w:highlight w:val="none"/>
        </w:rPr>
      </w:pPr>
      <w:r>
        <w:rPr>
          <w:rFonts w:hint="eastAsia" w:ascii="微软雅黑" w:hAnsi="微软雅黑" w:eastAsia="微软雅黑" w:cs="微软雅黑"/>
          <w:sz w:val="28"/>
          <w:szCs w:val="28"/>
          <w:highlight w:val="none"/>
        </w:rPr>
        <w:t>（四）</w:t>
      </w:r>
      <w:r>
        <w:rPr>
          <w:rFonts w:hint="eastAsia" w:ascii="微软雅黑" w:hAnsi="微软雅黑" w:eastAsia="微软雅黑" w:cs="微软雅黑"/>
          <w:sz w:val="28"/>
          <w:szCs w:val="28"/>
          <w:highlight w:val="none"/>
        </w:rPr>
        <w:t>企业具有较好的成长性，近3年</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lang w:val="en-US" w:eastAsia="zh-CN"/>
        </w:rPr>
        <w:t>20</w:t>
      </w:r>
      <w:r>
        <w:rPr>
          <w:rFonts w:hint="eastAsia" w:ascii="微软雅黑" w:hAnsi="微软雅黑" w:eastAsia="微软雅黑" w:cs="微软雅黑"/>
          <w:sz w:val="28"/>
          <w:szCs w:val="28"/>
          <w:highlight w:val="none"/>
          <w:lang w:val="en" w:eastAsia="zh-CN"/>
        </w:rPr>
        <w:t>2</w:t>
      </w:r>
      <w:r>
        <w:rPr>
          <w:rFonts w:hint="eastAsia" w:ascii="微软雅黑" w:hAnsi="微软雅黑" w:eastAsia="微软雅黑" w:cs="微软雅黑"/>
          <w:sz w:val="28"/>
          <w:szCs w:val="28"/>
          <w:highlight w:val="none"/>
          <w:lang w:val="en-US" w:eastAsia="zh-CN"/>
        </w:rPr>
        <w:t>1-2023年</w:t>
      </w:r>
      <w:r>
        <w:rPr>
          <w:rFonts w:hint="eastAsia" w:ascii="微软雅黑" w:hAnsi="微软雅黑" w:eastAsia="微软雅黑" w:cs="微软雅黑"/>
          <w:sz w:val="28"/>
          <w:szCs w:val="28"/>
          <w:highlight w:val="none"/>
          <w:lang w:eastAsia="zh-CN"/>
        </w:rPr>
        <w:t>）</w:t>
      </w:r>
      <w:r>
        <w:rPr>
          <w:rFonts w:hint="eastAsia" w:ascii="微软雅黑" w:hAnsi="微软雅黑" w:eastAsia="微软雅黑" w:cs="微软雅黑"/>
          <w:sz w:val="28"/>
          <w:szCs w:val="28"/>
          <w:highlight w:val="none"/>
        </w:rPr>
        <w:t>主营业务收入年增速均不低于20%</w:t>
      </w:r>
      <w:r>
        <w:rPr>
          <w:rFonts w:hint="eastAsia" w:ascii="微软雅黑" w:hAnsi="微软雅黑" w:eastAsia="微软雅黑" w:cs="微软雅黑"/>
          <w:sz w:val="28"/>
          <w:szCs w:val="28"/>
          <w:highlight w:val="none"/>
          <w:lang w:eastAsia="zh-CN"/>
        </w:rPr>
        <w:t>（该项资助须考察企业近</w:t>
      </w:r>
      <w:r>
        <w:rPr>
          <w:rFonts w:hint="eastAsia" w:ascii="微软雅黑" w:hAnsi="微软雅黑" w:eastAsia="微软雅黑" w:cs="微软雅黑"/>
          <w:sz w:val="28"/>
          <w:szCs w:val="28"/>
          <w:highlight w:val="none"/>
          <w:lang w:val="en-US" w:eastAsia="zh-CN"/>
        </w:rPr>
        <w:t>3年成长持续性，20</w:t>
      </w:r>
      <w:r>
        <w:rPr>
          <w:rFonts w:hint="eastAsia" w:ascii="微软雅黑" w:hAnsi="微软雅黑" w:eastAsia="微软雅黑" w:cs="微软雅黑"/>
          <w:sz w:val="28"/>
          <w:szCs w:val="28"/>
          <w:highlight w:val="none"/>
          <w:lang w:val="en" w:eastAsia="zh-CN"/>
        </w:rPr>
        <w:t>2</w:t>
      </w:r>
      <w:r>
        <w:rPr>
          <w:rFonts w:hint="eastAsia" w:ascii="微软雅黑" w:hAnsi="微软雅黑" w:eastAsia="微软雅黑" w:cs="微软雅黑"/>
          <w:sz w:val="28"/>
          <w:szCs w:val="28"/>
          <w:highlight w:val="none"/>
          <w:lang w:val="en-US" w:eastAsia="zh-CN"/>
        </w:rPr>
        <w:t>1年之后注册成立的企业暂不纳入申报资助范围）。</w:t>
      </w:r>
    </w:p>
    <w:p>
      <w:pPr>
        <w:spacing w:line="560" w:lineRule="exact"/>
        <w:ind w:firstLine="560" w:firstLineChars="200"/>
        <w:rPr>
          <w:rFonts w:hint="eastAsia" w:ascii="微软雅黑" w:hAnsi="微软雅黑" w:eastAsia="微软雅黑" w:cs="微软雅黑"/>
          <w:color w:val="040404"/>
          <w:kern w:val="0"/>
          <w:sz w:val="28"/>
          <w:szCs w:val="28"/>
          <w:highlight w:val="none"/>
          <w:lang w:eastAsia="zh-CN"/>
        </w:rPr>
      </w:pPr>
      <w:r>
        <w:rPr>
          <w:rFonts w:hint="eastAsia" w:ascii="微软雅黑" w:hAnsi="微软雅黑" w:eastAsia="微软雅黑" w:cs="微软雅黑"/>
          <w:color w:val="040404"/>
          <w:kern w:val="0"/>
          <w:sz w:val="28"/>
          <w:szCs w:val="28"/>
          <w:highlight w:val="none"/>
          <w:lang w:eastAsia="zh-CN"/>
        </w:rPr>
        <w:t>（五）</w:t>
      </w:r>
      <w:r>
        <w:rPr>
          <w:rFonts w:hint="eastAsia" w:ascii="微软雅黑" w:hAnsi="微软雅黑" w:eastAsia="微软雅黑" w:cs="微软雅黑"/>
          <w:sz w:val="28"/>
          <w:szCs w:val="28"/>
          <w:highlight w:val="none"/>
        </w:rPr>
        <w:t>近3年内（20</w:t>
      </w:r>
      <w:r>
        <w:rPr>
          <w:rFonts w:hint="eastAsia" w:ascii="微软雅黑" w:hAnsi="微软雅黑" w:eastAsia="微软雅黑" w:cs="微软雅黑"/>
          <w:sz w:val="28"/>
          <w:szCs w:val="28"/>
          <w:highlight w:val="none"/>
          <w:lang w:val="en"/>
        </w:rPr>
        <w:t>2</w:t>
      </w:r>
      <w:r>
        <w:rPr>
          <w:rFonts w:hint="eastAsia" w:ascii="微软雅黑" w:hAnsi="微软雅黑" w:eastAsia="微软雅黑" w:cs="微软雅黑"/>
          <w:sz w:val="28"/>
          <w:szCs w:val="28"/>
          <w:highlight w:val="none"/>
          <w:lang w:val="en-US" w:eastAsia="zh-CN"/>
        </w:rPr>
        <w:t>1</w:t>
      </w:r>
      <w:r>
        <w:rPr>
          <w:rFonts w:hint="eastAsia" w:ascii="微软雅黑" w:hAnsi="微软雅黑" w:eastAsia="微软雅黑" w:cs="微软雅黑"/>
          <w:sz w:val="28"/>
          <w:szCs w:val="28"/>
          <w:highlight w:val="none"/>
        </w:rPr>
        <w:t>-20</w:t>
      </w:r>
      <w:r>
        <w:rPr>
          <w:rFonts w:hint="eastAsia" w:ascii="微软雅黑" w:hAnsi="微软雅黑" w:eastAsia="微软雅黑" w:cs="微软雅黑"/>
          <w:sz w:val="28"/>
          <w:szCs w:val="28"/>
          <w:highlight w:val="none"/>
          <w:lang w:val="en-US" w:eastAsia="zh-CN"/>
        </w:rPr>
        <w:t>23</w:t>
      </w:r>
      <w:r>
        <w:rPr>
          <w:rFonts w:hint="eastAsia" w:ascii="微软雅黑" w:hAnsi="微软雅黑" w:eastAsia="微软雅黑" w:cs="微软雅黑"/>
          <w:sz w:val="28"/>
          <w:szCs w:val="28"/>
          <w:highlight w:val="none"/>
        </w:rPr>
        <w:t>年）没有获评深圳市优秀新型业态文化企业。</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四、资助方式、数量及范围</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（一）资助方式及数量：事后资助。有数量限制，通过综合评定择优资助企业不超过30家，受市文化产业发展专项资金年度总额限制。</w:t>
      </w:r>
    </w:p>
    <w:p>
      <w:pPr>
        <w:spacing w:line="560" w:lineRule="exact"/>
        <w:ind w:firstLine="560" w:firstLineChars="20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rPr>
        <w:t>（二）资助标准：市文化广电旅游体育局根据审定通过的认定名单，</w:t>
      </w:r>
      <w:r>
        <w:rPr>
          <w:rFonts w:hint="eastAsia" w:ascii="微软雅黑" w:hAnsi="微软雅黑" w:eastAsia="微软雅黑" w:cs="微软雅黑"/>
          <w:color w:val="auto"/>
          <w:sz w:val="28"/>
          <w:szCs w:val="28"/>
          <w:highlight w:val="none"/>
          <w:lang w:eastAsia="zh-CN"/>
        </w:rPr>
        <w:t>根据企业规模</w:t>
      </w:r>
      <w:r>
        <w:rPr>
          <w:rFonts w:hint="eastAsia" w:ascii="微软雅黑" w:hAnsi="微软雅黑" w:eastAsia="微软雅黑" w:cs="微软雅黑"/>
          <w:color w:val="auto"/>
          <w:sz w:val="28"/>
          <w:szCs w:val="28"/>
          <w:highlight w:val="none"/>
        </w:rPr>
        <w:t>分</w:t>
      </w:r>
      <w:r>
        <w:rPr>
          <w:rFonts w:hint="eastAsia" w:ascii="微软雅黑" w:hAnsi="微软雅黑" w:eastAsia="微软雅黑" w:cs="微软雅黑"/>
          <w:color w:val="auto"/>
          <w:sz w:val="28"/>
          <w:szCs w:val="28"/>
          <w:highlight w:val="none"/>
          <w:lang w:eastAsia="zh-CN"/>
        </w:rPr>
        <w:t>别</w:t>
      </w:r>
      <w:r>
        <w:rPr>
          <w:rFonts w:hint="eastAsia" w:ascii="微软雅黑" w:hAnsi="微软雅黑" w:eastAsia="微软雅黑" w:cs="微软雅黑"/>
          <w:color w:val="auto"/>
          <w:sz w:val="28"/>
          <w:szCs w:val="28"/>
          <w:highlight w:val="none"/>
        </w:rPr>
        <w:t>给予</w:t>
      </w:r>
      <w:r>
        <w:rPr>
          <w:rFonts w:hint="eastAsia" w:ascii="微软雅黑" w:hAnsi="微软雅黑" w:eastAsia="微软雅黑" w:cs="微软雅黑"/>
          <w:color w:val="auto"/>
          <w:sz w:val="28"/>
          <w:szCs w:val="28"/>
          <w:highlight w:val="none"/>
          <w:lang w:eastAsia="zh-CN"/>
        </w:rPr>
        <w:t>一次性</w:t>
      </w:r>
      <w:r>
        <w:rPr>
          <w:rFonts w:hint="eastAsia" w:ascii="微软雅黑" w:hAnsi="微软雅黑" w:eastAsia="微软雅黑" w:cs="微软雅黑"/>
          <w:color w:val="auto"/>
          <w:sz w:val="28"/>
          <w:szCs w:val="28"/>
          <w:highlight w:val="none"/>
          <w:lang w:val="en-US" w:eastAsia="zh-CN"/>
        </w:rPr>
        <w:t>100万元、70万元和50万元的</w:t>
      </w:r>
      <w:r>
        <w:rPr>
          <w:rFonts w:hint="eastAsia" w:ascii="微软雅黑" w:hAnsi="微软雅黑" w:eastAsia="微软雅黑" w:cs="微软雅黑"/>
          <w:color w:val="auto"/>
          <w:sz w:val="28"/>
          <w:szCs w:val="28"/>
          <w:highlight w:val="none"/>
        </w:rPr>
        <w:t>奖励。</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五</w:t>
      </w:r>
      <w:r>
        <w:rPr>
          <w:rFonts w:hint="eastAsia" w:ascii="微软雅黑" w:hAnsi="微软雅黑" w:eastAsia="微软雅黑" w:cs="微软雅黑"/>
          <w:b w:val="0"/>
          <w:bCs w:val="0"/>
          <w:sz w:val="28"/>
          <w:szCs w:val="28"/>
          <w:highlight w:val="none"/>
        </w:rPr>
        <w:t>、受理时间</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网上填报受理时间：</w:t>
      </w:r>
      <w:r>
        <w:rPr>
          <w:rFonts w:hint="eastAsia" w:ascii="微软雅黑" w:hAnsi="微软雅黑" w:eastAsia="微软雅黑" w:cs="微软雅黑"/>
          <w:sz w:val="28"/>
          <w:szCs w:val="28"/>
          <w:highlight w:val="none"/>
          <w:lang w:eastAsia="zh-CN"/>
        </w:rPr>
        <w:t>即日起</w:t>
      </w:r>
      <w:r>
        <w:rPr>
          <w:rFonts w:hint="eastAsia" w:ascii="微软雅黑" w:hAnsi="微软雅黑" w:eastAsia="微软雅黑" w:cs="微软雅黑"/>
          <w:sz w:val="28"/>
          <w:szCs w:val="28"/>
          <w:highlight w:val="none"/>
        </w:rPr>
        <w:t>至202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月</w:t>
      </w:r>
      <w:r>
        <w:rPr>
          <w:rFonts w:hint="eastAsia" w:ascii="微软雅黑" w:hAnsi="微软雅黑" w:eastAsia="微软雅黑" w:cs="微软雅黑"/>
          <w:sz w:val="28"/>
          <w:szCs w:val="28"/>
          <w:highlight w:val="none"/>
          <w:lang w:val="en-US" w:eastAsia="zh-CN"/>
        </w:rPr>
        <w:t>22</w:t>
      </w:r>
      <w:r>
        <w:rPr>
          <w:rFonts w:hint="eastAsia" w:ascii="微软雅黑" w:hAnsi="微软雅黑" w:eastAsia="微软雅黑" w:cs="微软雅黑"/>
          <w:sz w:val="28"/>
          <w:szCs w:val="28"/>
          <w:highlight w:val="none"/>
        </w:rPr>
        <w:t>日18</w:t>
      </w:r>
      <w:r>
        <w:rPr>
          <w:rFonts w:hint="eastAsia" w:ascii="微软雅黑" w:hAnsi="微软雅黑" w:eastAsia="微软雅黑" w:cs="微软雅黑"/>
          <w:sz w:val="28"/>
          <w:szCs w:val="28"/>
          <w:highlight w:val="none"/>
          <w:lang w:val="en-US" w:eastAsia="zh-CN"/>
        </w:rPr>
        <w:t>:00</w:t>
      </w:r>
      <w:r>
        <w:rPr>
          <w:rFonts w:hint="eastAsia" w:ascii="微软雅黑" w:hAnsi="微软雅黑" w:eastAsia="微软雅黑" w:cs="微软雅黑"/>
          <w:sz w:val="28"/>
          <w:szCs w:val="28"/>
          <w:highlight w:val="none"/>
        </w:rPr>
        <w:t>。</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初审结果发布时间：202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月</w:t>
      </w:r>
      <w:r>
        <w:rPr>
          <w:rFonts w:hint="eastAsia" w:ascii="微软雅黑" w:hAnsi="微软雅黑" w:eastAsia="微软雅黑" w:cs="微软雅黑"/>
          <w:sz w:val="28"/>
          <w:szCs w:val="28"/>
          <w:highlight w:val="none"/>
          <w:lang w:val="en-US" w:eastAsia="zh-CN"/>
        </w:rPr>
        <w:t>16</w:t>
      </w:r>
      <w:r>
        <w:rPr>
          <w:rFonts w:hint="eastAsia" w:ascii="微软雅黑" w:hAnsi="微软雅黑" w:eastAsia="微软雅黑" w:cs="微软雅黑"/>
          <w:sz w:val="28"/>
          <w:szCs w:val="28"/>
          <w:highlight w:val="none"/>
        </w:rPr>
        <w:t>日</w:t>
      </w:r>
      <w:r>
        <w:rPr>
          <w:rFonts w:hint="eastAsia" w:ascii="微软雅黑" w:hAnsi="微软雅黑" w:eastAsia="微软雅黑" w:cs="微软雅黑"/>
          <w:sz w:val="28"/>
          <w:szCs w:val="28"/>
          <w:highlight w:val="none"/>
          <w:lang w:val="en"/>
        </w:rPr>
        <w:t>前</w:t>
      </w:r>
      <w:r>
        <w:rPr>
          <w:rFonts w:hint="eastAsia" w:ascii="微软雅黑" w:hAnsi="微软雅黑" w:eastAsia="微软雅黑" w:cs="微软雅黑"/>
          <w:sz w:val="28"/>
          <w:szCs w:val="28"/>
          <w:highlight w:val="none"/>
        </w:rPr>
        <w:t>，由申报系统反馈</w:t>
      </w:r>
      <w:r>
        <w:rPr>
          <w:rFonts w:hint="eastAsia" w:ascii="微软雅黑" w:hAnsi="微软雅黑" w:eastAsia="微软雅黑" w:cs="微软雅黑"/>
          <w:sz w:val="28"/>
          <w:szCs w:val="28"/>
          <w:highlight w:val="none"/>
          <w:lang w:eastAsia="zh-CN"/>
        </w:rPr>
        <w:t>初审</w:t>
      </w:r>
      <w:r>
        <w:rPr>
          <w:rFonts w:hint="eastAsia" w:ascii="微软雅黑" w:hAnsi="微软雅黑" w:eastAsia="微软雅黑" w:cs="微软雅黑"/>
          <w:sz w:val="28"/>
          <w:szCs w:val="28"/>
          <w:highlight w:val="none"/>
        </w:rPr>
        <w:t>结果信息。</w:t>
      </w:r>
    </w:p>
    <w:p>
      <w:pPr>
        <w:spacing w:line="560" w:lineRule="exact"/>
        <w:ind w:firstLine="560" w:firstLineChars="200"/>
        <w:rPr>
          <w:rFonts w:hint="eastAsia" w:ascii="微软雅黑" w:hAnsi="微软雅黑" w:eastAsia="微软雅黑" w:cs="微软雅黑"/>
          <w:sz w:val="28"/>
          <w:szCs w:val="28"/>
          <w:highlight w:val="none"/>
          <w:lang w:eastAsia="zh-CN"/>
        </w:rPr>
      </w:pPr>
      <w:r>
        <w:rPr>
          <w:rFonts w:hint="eastAsia" w:ascii="微软雅黑" w:hAnsi="微软雅黑" w:eastAsia="微软雅黑" w:cs="微软雅黑"/>
          <w:sz w:val="28"/>
          <w:szCs w:val="28"/>
          <w:highlight w:val="none"/>
          <w:lang w:eastAsia="zh-CN"/>
        </w:rPr>
        <w:t>书面材料</w:t>
      </w:r>
      <w:r>
        <w:rPr>
          <w:rFonts w:hint="eastAsia" w:ascii="微软雅黑" w:hAnsi="微软雅黑" w:eastAsia="微软雅黑" w:cs="微软雅黑"/>
          <w:sz w:val="28"/>
          <w:szCs w:val="28"/>
          <w:highlight w:val="none"/>
        </w:rPr>
        <w:t>受理地点：通过初审的企业根据系统信息要求的时间和地点，按本指南第五项指引提交书面材料，逾期不予受理。</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六</w:t>
      </w:r>
      <w:r>
        <w:rPr>
          <w:rFonts w:hint="eastAsia" w:ascii="微软雅黑" w:hAnsi="微软雅黑" w:eastAsia="微软雅黑" w:cs="微软雅黑"/>
          <w:sz w:val="28"/>
          <w:szCs w:val="28"/>
          <w:highlight w:val="none"/>
        </w:rPr>
        <w:t>、申报和审核程序</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网上申报——网上初审——提交书面材料——专家评审——市文化广电旅游体育局委托财务审计——市文化广电旅游体育局党组会议审议——社会公示——市文化广电旅游体育局下达资金计划——拨付资助经费。</w:t>
      </w:r>
    </w:p>
    <w:p>
      <w:pPr>
        <w:spacing w:line="560" w:lineRule="exact"/>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lang w:val="en-US" w:eastAsia="zh-CN"/>
        </w:rPr>
        <w:t>七</w:t>
      </w:r>
      <w:r>
        <w:rPr>
          <w:rFonts w:hint="eastAsia" w:ascii="微软雅黑" w:hAnsi="微软雅黑" w:eastAsia="微软雅黑" w:cs="微软雅黑"/>
          <w:sz w:val="28"/>
          <w:szCs w:val="28"/>
          <w:highlight w:val="none"/>
        </w:rPr>
        <w:t>、办理时限</w:t>
      </w:r>
    </w:p>
    <w:p>
      <w:pPr>
        <w:spacing w:line="560" w:lineRule="exact"/>
        <w:ind w:left="319" w:leftChars="152" w:firstLine="280" w:firstLineChars="1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此项目为</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年储备项目，202</w:t>
      </w:r>
      <w:r>
        <w:rPr>
          <w:rFonts w:hint="eastAsia" w:ascii="微软雅黑" w:hAnsi="微软雅黑" w:eastAsia="微软雅黑" w:cs="微软雅黑"/>
          <w:sz w:val="28"/>
          <w:szCs w:val="28"/>
          <w:highlight w:val="none"/>
          <w:lang w:val="en-US" w:eastAsia="zh-CN"/>
        </w:rPr>
        <w:t>4</w:t>
      </w:r>
      <w:r>
        <w:rPr>
          <w:rFonts w:hint="eastAsia" w:ascii="微软雅黑" w:hAnsi="微软雅黑" w:eastAsia="微软雅黑" w:cs="微软雅黑"/>
          <w:sz w:val="28"/>
          <w:szCs w:val="28"/>
          <w:highlight w:val="none"/>
        </w:rPr>
        <w:t>年完成评审</w:t>
      </w:r>
      <w:r>
        <w:rPr>
          <w:rFonts w:hint="eastAsia" w:ascii="微软雅黑" w:hAnsi="微软雅黑" w:eastAsia="微软雅黑" w:cs="微软雅黑"/>
          <w:sz w:val="28"/>
          <w:szCs w:val="28"/>
          <w:highlight w:val="none"/>
          <w:lang w:val="en" w:eastAsia="zh-CN"/>
        </w:rPr>
        <w:t>，</w:t>
      </w:r>
      <w:r>
        <w:rPr>
          <w:rFonts w:hint="eastAsia" w:ascii="微软雅黑" w:hAnsi="微软雅黑" w:eastAsia="微软雅黑" w:cs="微软雅黑"/>
          <w:sz w:val="28"/>
          <w:szCs w:val="28"/>
          <w:highlight w:val="none"/>
          <w:lang w:eastAsia="zh-CN"/>
        </w:rPr>
        <w:t>预计</w:t>
      </w:r>
      <w:r>
        <w:rPr>
          <w:rFonts w:hint="eastAsia" w:ascii="微软雅黑" w:hAnsi="微软雅黑" w:eastAsia="微软雅黑" w:cs="微软雅黑"/>
          <w:sz w:val="28"/>
          <w:szCs w:val="28"/>
          <w:highlight w:val="none"/>
        </w:rPr>
        <w:t>202</w:t>
      </w:r>
      <w:r>
        <w:rPr>
          <w:rFonts w:hint="eastAsia" w:ascii="微软雅黑" w:hAnsi="微软雅黑" w:eastAsia="微软雅黑" w:cs="微软雅黑"/>
          <w:sz w:val="28"/>
          <w:szCs w:val="28"/>
          <w:highlight w:val="none"/>
          <w:lang w:val="en-US" w:eastAsia="zh-CN"/>
        </w:rPr>
        <w:t>5</w:t>
      </w:r>
      <w:r>
        <w:rPr>
          <w:rFonts w:hint="eastAsia" w:ascii="微软雅黑" w:hAnsi="微软雅黑" w:eastAsia="微软雅黑" w:cs="微软雅黑"/>
          <w:sz w:val="28"/>
          <w:szCs w:val="28"/>
          <w:highlight w:val="none"/>
        </w:rPr>
        <w:t>年拨付</w:t>
      </w:r>
      <w:r>
        <w:rPr>
          <w:rFonts w:hint="eastAsia" w:ascii="微软雅黑" w:hAnsi="微软雅黑" w:eastAsia="微软雅黑" w:cs="微软雅黑"/>
          <w:sz w:val="28"/>
          <w:szCs w:val="28"/>
          <w:highlight w:val="none"/>
          <w:lang w:eastAsia="zh-CN"/>
        </w:rPr>
        <w:t>资金</w:t>
      </w:r>
      <w:r>
        <w:rPr>
          <w:rFonts w:hint="eastAsia" w:ascii="微软雅黑" w:hAnsi="微软雅黑" w:eastAsia="微软雅黑" w:cs="微软雅黑"/>
          <w:sz w:val="28"/>
          <w:szCs w:val="28"/>
          <w:highlight w:val="none"/>
        </w:rPr>
        <w:t>。</w:t>
      </w: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CFEE0FE"/>
    <w:rsid w:val="2EF6176C"/>
    <w:rsid w:val="34620E65"/>
    <w:rsid w:val="368A2987"/>
    <w:rsid w:val="37106E29"/>
    <w:rsid w:val="3C6C3DF5"/>
    <w:rsid w:val="3FC78B31"/>
    <w:rsid w:val="3FEF5B3A"/>
    <w:rsid w:val="3FFDE194"/>
    <w:rsid w:val="43F46D38"/>
    <w:rsid w:val="46E13400"/>
    <w:rsid w:val="4BDA3BE7"/>
    <w:rsid w:val="4CF79E8F"/>
    <w:rsid w:val="4F8B159F"/>
    <w:rsid w:val="50B732AC"/>
    <w:rsid w:val="5AF13C9B"/>
    <w:rsid w:val="5BB852A0"/>
    <w:rsid w:val="5D8629FD"/>
    <w:rsid w:val="5FB3E47C"/>
    <w:rsid w:val="5FCA0F73"/>
    <w:rsid w:val="5FF969A4"/>
    <w:rsid w:val="63654BB2"/>
    <w:rsid w:val="67953BED"/>
    <w:rsid w:val="69C54A61"/>
    <w:rsid w:val="6C30448B"/>
    <w:rsid w:val="6C6DF6AC"/>
    <w:rsid w:val="6DED9A09"/>
    <w:rsid w:val="6FF98F1A"/>
    <w:rsid w:val="70FD870F"/>
    <w:rsid w:val="71430C78"/>
    <w:rsid w:val="7BFE2423"/>
    <w:rsid w:val="7BFF433E"/>
    <w:rsid w:val="7D0E1761"/>
    <w:rsid w:val="7EFDEDEF"/>
    <w:rsid w:val="7F6DAA23"/>
    <w:rsid w:val="7F777019"/>
    <w:rsid w:val="7F7DF5A7"/>
    <w:rsid w:val="7FAD8D35"/>
    <w:rsid w:val="7FB1C943"/>
    <w:rsid w:val="7FFE3E3F"/>
    <w:rsid w:val="7FFFBC8F"/>
    <w:rsid w:val="9CFA757C"/>
    <w:rsid w:val="9FDF18F7"/>
    <w:rsid w:val="B8F7F721"/>
    <w:rsid w:val="BFAF1E53"/>
    <w:rsid w:val="BFBD955B"/>
    <w:rsid w:val="BFDF4AB1"/>
    <w:rsid w:val="DFDEEFC6"/>
    <w:rsid w:val="EBBF3341"/>
    <w:rsid w:val="ED7A8DF4"/>
    <w:rsid w:val="EF658D36"/>
    <w:rsid w:val="F47E8D02"/>
    <w:rsid w:val="F6F7970D"/>
    <w:rsid w:val="F7F5F411"/>
    <w:rsid w:val="FAF62708"/>
    <w:rsid w:val="FB959010"/>
    <w:rsid w:val="FC57B0B7"/>
    <w:rsid w:val="FCD436B0"/>
    <w:rsid w:val="FCFF0CFC"/>
    <w:rsid w:val="FFBFDF44"/>
    <w:rsid w:val="FFDE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line="540" w:lineRule="exact"/>
      <w:ind w:firstLine="622"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0"/>
    <w:rPr>
      <w:rFonts w:hint="default" w:ascii="Times New Roman" w:hAnsi="Times New Roman" w:cs="Times New Roman"/>
      <w:b/>
      <w:bCs/>
    </w:rPr>
  </w:style>
  <w:style w:type="character" w:customStyle="1" w:styleId="11">
    <w:name w:val="页眉 Char"/>
    <w:basedOn w:val="9"/>
    <w:link w:val="5"/>
    <w:autoRedefine/>
    <w:qFormat/>
    <w:uiPriority w:val="99"/>
    <w:rPr>
      <w:sz w:val="18"/>
      <w:szCs w:val="18"/>
    </w:rPr>
  </w:style>
  <w:style w:type="character" w:customStyle="1" w:styleId="12">
    <w:name w:val="页脚 Char"/>
    <w:basedOn w:val="9"/>
    <w:link w:val="4"/>
    <w:autoRedefine/>
    <w:qFormat/>
    <w:uiPriority w:val="99"/>
    <w:rPr>
      <w:sz w:val="18"/>
      <w:szCs w:val="18"/>
    </w:rPr>
  </w:style>
  <w:style w:type="character" w:customStyle="1" w:styleId="13">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3</TotalTime>
  <ScaleCrop>false</ScaleCrop>
  <LinksUpToDate>false</LinksUpToDate>
  <CharactersWithSpaces>1532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2020-01-13T02:41:00Z</dcterms:created>
  <dc:creator>冷艳丽</dc:creator>
  <cp:lastModifiedBy>姬艳丽</cp:lastModifiedBy>
  <cp:lastPrinted>2020-04-30T01:41:00Z</cp:lastPrinted>
  <dcterms:modified xsi:type="dcterms:W3CDTF">2024-03-28T10:47:53Z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47077E8135EA4613906D7CDBD21AF7F8_13</vt:lpwstr>
  </property>
</Properties>
</file>