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深圳市商务局202</w:t>
      </w:r>
      <w:r>
        <w:rPr>
          <w:rFonts w:hint="default" w:ascii="方正小标宋简体" w:hAnsi="方正小标宋简体" w:eastAsia="方正小标宋简体" w:cs="方正小标宋简体"/>
          <w:color w:val="auto"/>
          <w:sz w:val="44"/>
          <w:szCs w:val="44"/>
          <w:lang w:eastAsia="zh-CN"/>
        </w:rPr>
        <w:t>4</w:t>
      </w:r>
      <w:r>
        <w:rPr>
          <w:rFonts w:hint="eastAsia" w:ascii="方正小标宋简体" w:hAnsi="方正小标宋简体" w:eastAsia="方正小标宋简体" w:cs="方正小标宋简体"/>
          <w:color w:val="auto"/>
          <w:sz w:val="44"/>
          <w:szCs w:val="44"/>
        </w:rPr>
        <w:t>年贸易型总部企业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申报</w:t>
      </w:r>
      <w:r>
        <w:rPr>
          <w:rFonts w:hint="eastAsia" w:ascii="方正小标宋简体" w:hAnsi="方正小标宋简体" w:eastAsia="方正小标宋简体" w:cs="方正小标宋简体"/>
          <w:color w:val="auto"/>
          <w:sz w:val="44"/>
          <w:szCs w:val="44"/>
          <w:lang w:eastAsia="zh-CN"/>
        </w:rPr>
        <w:t>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为打造全面扩大开放新格局，构筑对外开放新优势，增强消费对经济发展的拉动作用，加快建设具有全球重要影响力的消费中心，</w:t>
      </w:r>
      <w:r>
        <w:rPr>
          <w:rFonts w:hint="default" w:ascii="仿宋_GB2312" w:hAnsi="仿宋_GB2312" w:eastAsia="仿宋_GB2312" w:cs="仿宋_GB2312"/>
          <w:color w:val="auto"/>
          <w:sz w:val="32"/>
          <w:szCs w:val="32"/>
        </w:rPr>
        <w:t>落实支持贸易型总部企业发展政策</w:t>
      </w:r>
      <w:r>
        <w:rPr>
          <w:rFonts w:hint="default" w:ascii="仿宋_GB2312" w:hAnsi="仿宋_GB2312" w:eastAsia="仿宋_GB2312" w:cs="仿宋_GB2312"/>
          <w:color w:val="auto"/>
          <w:sz w:val="32"/>
          <w:szCs w:val="32"/>
          <w:lang w:eastAsia="zh-CN"/>
        </w:rPr>
        <w:t>，开展认定工作。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贸易型总部企业，指境内外企业在深圳设立的，</w:t>
      </w:r>
      <w:r>
        <w:rPr>
          <w:rFonts w:hint="eastAsia" w:ascii="仿宋_GB2312" w:hAnsi="仿宋_GB2312" w:eastAsia="仿宋_GB2312" w:cs="仿宋_GB2312"/>
          <w:color w:val="auto"/>
          <w:sz w:val="32"/>
          <w:szCs w:val="32"/>
        </w:rPr>
        <w:t>具有采购、分拨、</w:t>
      </w:r>
      <w:r>
        <w:rPr>
          <w:rFonts w:ascii="仿宋_GB2312" w:hAnsi="仿宋_GB2312" w:eastAsia="仿宋_GB2312" w:cs="仿宋_GB2312"/>
          <w:color w:val="auto"/>
          <w:sz w:val="32"/>
          <w:szCs w:val="32"/>
        </w:rPr>
        <w:t>销售</w:t>
      </w:r>
      <w:r>
        <w:rPr>
          <w:rFonts w:hint="eastAsia" w:ascii="仿宋_GB2312" w:hAnsi="仿宋_GB2312" w:eastAsia="仿宋_GB2312" w:cs="仿宋_GB2312"/>
          <w:color w:val="auto"/>
          <w:sz w:val="32"/>
          <w:szCs w:val="32"/>
        </w:rPr>
        <w:t>、结算、物流等单一或综合贸易功能的总部机构。</w:t>
      </w:r>
      <w:r>
        <w:rPr>
          <w:rFonts w:hint="default" w:ascii="仿宋_GB2312" w:hAnsi="仿宋_GB2312" w:eastAsia="仿宋_GB2312" w:cs="仿宋_GB2312"/>
          <w:color w:val="auto"/>
          <w:sz w:val="32"/>
          <w:szCs w:val="32"/>
          <w:lang w:eastAsia="zh-CN"/>
        </w:rPr>
        <w:t>既包含传统贸易企业，也包含基于互联网等信息技术从事撮合交易或提供配套服务的平台型贸易企业。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default" w:ascii="黑体" w:hAnsi="黑体" w:eastAsia="黑体" w:cs="黑体"/>
          <w:color w:val="auto"/>
          <w:sz w:val="32"/>
          <w:szCs w:val="32"/>
        </w:rPr>
        <w:t>认定</w:t>
      </w:r>
      <w:r>
        <w:rPr>
          <w:rFonts w:hint="eastAsia" w:ascii="黑体" w:hAnsi="黑体" w:eastAsia="黑体" w:cs="黑体"/>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lang w:eastAsia="zh-CN"/>
        </w:rPr>
        <w:t>《深圳市商务局关于支持贸易型总部企业发展的实施意见》</w:t>
      </w:r>
      <w:r>
        <w:rPr>
          <w:rFonts w:hint="default" w:ascii="仿宋_GB2312" w:hAnsi="仿宋_GB2312" w:eastAsia="仿宋_GB2312" w:cs="仿宋_GB2312"/>
          <w:color w:val="auto"/>
          <w:sz w:val="32"/>
          <w:szCs w:val="32"/>
          <w:highlight w:val="none"/>
          <w:lang w:eastAsia="zh-CN"/>
        </w:rPr>
        <w:t>（深商务规</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1号）。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按照“公开、公平、公正”的原则，鼓励企业设立贸易型总部企业，实行自愿申报、政府审核、社会公示、动态评估制度。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rPr>
      </w:pPr>
      <w:r>
        <w:rPr>
          <w:rFonts w:hint="default" w:ascii="黑体" w:hAnsi="黑体" w:eastAsia="黑体" w:cs="黑体"/>
          <w:color w:val="auto"/>
          <w:sz w:val="32"/>
          <w:szCs w:val="32"/>
        </w:rPr>
        <w:t>四</w:t>
      </w:r>
      <w:r>
        <w:rPr>
          <w:rFonts w:hint="eastAsia" w:ascii="黑体" w:hAnsi="黑体" w:eastAsia="黑体" w:cs="黑体"/>
          <w:color w:val="auto"/>
          <w:sz w:val="32"/>
          <w:szCs w:val="32"/>
        </w:rPr>
        <w:t>、申报条件</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贸易型总部企业应当符合以下</w:t>
      </w:r>
      <w:r>
        <w:rPr>
          <w:rFonts w:hint="eastAsia" w:ascii="仿宋_GB2312" w:hAnsi="仿宋_GB2312" w:eastAsia="仿宋_GB2312" w:cs="仿宋_GB2312"/>
          <w:b/>
          <w:bCs/>
          <w:color w:val="auto"/>
          <w:sz w:val="32"/>
          <w:szCs w:val="32"/>
        </w:rPr>
        <w:t>基础条件：</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在深圳市实际从事经营活动，且具有独立法人资格；</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除本市外，拥有分支机构并有业务覆盖，实行统一管理；</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未被列入严重失信主体名单；</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贸易型总部企业除符合基础条件外，还应当符合以下</w:t>
      </w:r>
      <w:r>
        <w:rPr>
          <w:rFonts w:hint="eastAsia" w:ascii="仿宋_GB2312" w:hAnsi="仿宋_GB2312" w:eastAsia="仿宋_GB2312" w:cs="仿宋_GB2312"/>
          <w:b/>
          <w:bCs/>
          <w:color w:val="auto"/>
          <w:sz w:val="32"/>
          <w:szCs w:val="32"/>
        </w:rPr>
        <w:t>任一</w:t>
      </w:r>
      <w:r>
        <w:rPr>
          <w:rFonts w:hint="eastAsia" w:ascii="仿宋_GB2312" w:hAnsi="仿宋_GB2312" w:eastAsia="仿宋_GB2312" w:cs="仿宋_GB2312"/>
          <w:color w:val="auto"/>
          <w:sz w:val="32"/>
          <w:szCs w:val="32"/>
        </w:rPr>
        <w:t>专项条件：</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以国内批发零售为主营业务的，</w:t>
      </w:r>
      <w:r>
        <w:rPr>
          <w:rFonts w:ascii="仿宋_GB2312" w:hAnsi="仿宋_GB2312" w:eastAsia="仿宋_GB2312" w:cs="仿宋_GB2312"/>
          <w:color w:val="auto"/>
          <w:sz w:val="32"/>
          <w:szCs w:val="32"/>
        </w:rPr>
        <w:t>上年度批发业销售额超过50亿元，或者上年度零售业销售额超过30亿元</w:t>
      </w:r>
      <w:r>
        <w:rPr>
          <w:rFonts w:hint="eastAsia" w:ascii="仿宋_GB2312" w:hAnsi="仿宋_GB2312" w:eastAsia="仿宋_GB2312" w:cs="仿宋_GB2312"/>
          <w:color w:val="auto"/>
          <w:sz w:val="32"/>
          <w:szCs w:val="32"/>
        </w:rPr>
        <w:t>；</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以国际货物贸易为主营业务的，</w:t>
      </w:r>
      <w:r>
        <w:rPr>
          <w:rFonts w:ascii="仿宋_GB2312" w:hAnsi="仿宋_GB2312" w:eastAsia="仿宋_GB2312" w:cs="仿宋_GB2312"/>
          <w:color w:val="auto"/>
          <w:sz w:val="32"/>
          <w:szCs w:val="32"/>
        </w:rPr>
        <w:t>上年度货物贸易进出口额超过50亿元</w:t>
      </w:r>
      <w:r>
        <w:rPr>
          <w:rFonts w:hint="eastAsia" w:ascii="仿宋_GB2312" w:hAnsi="仿宋_GB2312" w:eastAsia="仿宋_GB2312" w:cs="仿宋_GB2312"/>
          <w:color w:val="auto"/>
          <w:sz w:val="32"/>
          <w:szCs w:val="32"/>
        </w:rPr>
        <w:t>；</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以国际服务贸易为主营业务的，</w:t>
      </w:r>
      <w:r>
        <w:rPr>
          <w:rFonts w:ascii="仿宋_GB2312" w:hAnsi="仿宋_GB2312" w:eastAsia="仿宋_GB2312" w:cs="仿宋_GB2312"/>
          <w:color w:val="auto"/>
          <w:sz w:val="32"/>
          <w:szCs w:val="32"/>
        </w:rPr>
        <w:t>上年度服务贸易进出口额超过10亿元</w:t>
      </w:r>
      <w:r>
        <w:rPr>
          <w:rFonts w:hint="eastAsia" w:ascii="仿宋_GB2312" w:hAnsi="仿宋_GB2312" w:eastAsia="仿宋_GB2312" w:cs="仿宋_GB2312"/>
          <w:color w:val="auto"/>
          <w:sz w:val="32"/>
          <w:szCs w:val="32"/>
        </w:rPr>
        <w:t>；</w:t>
      </w:r>
    </w:p>
    <w:p>
      <w:pPr>
        <w:pStyle w:val="8"/>
        <w:ind w:firstLine="640"/>
        <w:rPr>
          <w:color w:val="auto"/>
        </w:rPr>
      </w:pPr>
      <w:r>
        <w:rPr>
          <w:rFonts w:hint="eastAsia" w:ascii="仿宋_GB2312" w:hAnsi="仿宋_GB2312" w:cs="仿宋_GB2312"/>
          <w:color w:val="auto"/>
          <w:lang w:val="en-US" w:eastAsia="zh-CN"/>
        </w:rPr>
        <w:t>4.</w:t>
      </w:r>
      <w:r>
        <w:rPr>
          <w:rFonts w:ascii="仿宋_GB2312" w:hAnsi="仿宋_GB2312" w:cs="仿宋_GB2312"/>
          <w:color w:val="auto"/>
        </w:rPr>
        <w:t>以物流仓储为主营业务的，上年度企业营业收入超过</w:t>
      </w:r>
      <w:r>
        <w:rPr>
          <w:rFonts w:hint="eastAsia" w:ascii="仿宋_GB2312" w:hAnsi="仿宋_GB2312" w:cs="仿宋_GB2312"/>
          <w:color w:val="auto"/>
        </w:rPr>
        <w:t>10</w:t>
      </w:r>
      <w:r>
        <w:rPr>
          <w:rFonts w:ascii="仿宋_GB2312" w:hAnsi="仿宋_GB2312" w:cs="仿宋_GB2312"/>
          <w:color w:val="auto"/>
        </w:rPr>
        <w:t>亿元；</w:t>
      </w:r>
    </w:p>
    <w:p>
      <w:pPr>
        <w:pStyle w:val="8"/>
        <w:ind w:firstLine="640"/>
        <w:rPr>
          <w:rFonts w:ascii="仿宋_GB2312" w:hAnsi="仿宋_GB2312" w:cs="仿宋_GB2312"/>
          <w:color w:val="auto"/>
        </w:rPr>
      </w:pPr>
      <w:r>
        <w:rPr>
          <w:rFonts w:hint="eastAsia" w:ascii="仿宋_GB2312" w:hAnsi="仿宋_GB2312" w:cs="仿宋_GB2312"/>
          <w:color w:val="auto"/>
          <w:lang w:val="en-US" w:eastAsia="zh-CN"/>
        </w:rPr>
        <w:t>5.</w:t>
      </w:r>
      <w:r>
        <w:rPr>
          <w:rFonts w:ascii="仿宋_GB2312" w:hAnsi="仿宋_GB2312" w:cs="仿宋_GB2312"/>
          <w:color w:val="auto"/>
        </w:rPr>
        <w:t>以平台交易为主营业务的：</w:t>
      </w:r>
    </w:p>
    <w:p>
      <w:pPr>
        <w:pStyle w:val="8"/>
        <w:ind w:firstLine="640"/>
        <w:rPr>
          <w:rFonts w:ascii="仿宋_GB2312" w:hAnsi="仿宋_GB2312" w:cs="仿宋_GB2312"/>
          <w:color w:val="auto"/>
        </w:rPr>
      </w:pPr>
      <w:r>
        <w:rPr>
          <w:rFonts w:hint="eastAsia" w:ascii="仿宋_GB2312" w:hAnsi="仿宋_GB2312" w:cs="仿宋_GB2312"/>
          <w:color w:val="auto"/>
          <w:lang w:eastAsia="zh-CN"/>
        </w:rPr>
        <w:t>（</w:t>
      </w:r>
      <w:r>
        <w:rPr>
          <w:rFonts w:hint="eastAsia" w:ascii="仿宋_GB2312" w:hAnsi="仿宋_GB2312" w:cs="仿宋_GB2312"/>
          <w:color w:val="auto"/>
          <w:lang w:val="en-US" w:eastAsia="zh-CN"/>
        </w:rPr>
        <w:t>1）</w:t>
      </w:r>
      <w:r>
        <w:rPr>
          <w:rFonts w:ascii="仿宋_GB2312" w:hAnsi="仿宋_GB2312" w:cs="仿宋_GB2312"/>
          <w:color w:val="auto"/>
        </w:rPr>
        <w:t>独立站建站平台累计注册商户超过2000个，上年度交易额（GMV）超过20亿元；</w:t>
      </w:r>
    </w:p>
    <w:p>
      <w:pPr>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第三方电商平台累计注册商户超过5000个，上年度交易额（GMV）超过</w:t>
      </w:r>
      <w:r>
        <w:rPr>
          <w:rFonts w:hint="eastAsia" w:ascii="仿宋_GB2312" w:hAnsi="仿宋_GB2312" w:eastAsia="仿宋_GB2312" w:cs="仿宋_GB2312"/>
          <w:color w:val="auto"/>
          <w:sz w:val="32"/>
          <w:szCs w:val="32"/>
        </w:rPr>
        <w:t>150</w:t>
      </w:r>
      <w:r>
        <w:rPr>
          <w:rFonts w:ascii="仿宋_GB2312" w:hAnsi="仿宋_GB2312" w:eastAsia="仿宋_GB2312" w:cs="仿宋_GB2312"/>
          <w:color w:val="auto"/>
          <w:sz w:val="32"/>
          <w:szCs w:val="32"/>
        </w:rPr>
        <w:t>亿元。</w:t>
      </w:r>
    </w:p>
    <w:p>
      <w:pPr>
        <w:spacing w:line="560" w:lineRule="exact"/>
        <w:ind w:firstLine="64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以集团总部</w:t>
      </w:r>
      <w:r>
        <w:rPr>
          <w:rFonts w:hint="eastAsia" w:ascii="仿宋_GB2312" w:hAnsi="仿宋_GB2312" w:eastAsia="仿宋_GB2312" w:cs="仿宋_GB2312"/>
          <w:color w:val="auto"/>
          <w:sz w:val="32"/>
          <w:szCs w:val="32"/>
        </w:rPr>
        <w:t>名义</w:t>
      </w:r>
      <w:r>
        <w:rPr>
          <w:rFonts w:ascii="仿宋_GB2312" w:hAnsi="仿宋_GB2312" w:eastAsia="仿宋_GB2312" w:cs="仿宋_GB2312"/>
          <w:color w:val="auto"/>
          <w:sz w:val="32"/>
          <w:szCs w:val="32"/>
        </w:rPr>
        <w:t>申报的</w:t>
      </w:r>
      <w:r>
        <w:rPr>
          <w:rFonts w:hint="eastAsia" w:ascii="仿宋_GB2312" w:hAnsi="仿宋_GB2312" w:eastAsia="仿宋_GB2312" w:cs="仿宋_GB2312"/>
          <w:color w:val="auto"/>
          <w:sz w:val="32"/>
          <w:szCs w:val="32"/>
        </w:rPr>
        <w:t>企业</w:t>
      </w:r>
      <w:r>
        <w:rPr>
          <w:rFonts w:ascii="仿宋_GB2312" w:hAnsi="仿宋_GB2312" w:eastAsia="仿宋_GB2312" w:cs="仿宋_GB2312"/>
          <w:color w:val="auto"/>
          <w:sz w:val="32"/>
          <w:szCs w:val="32"/>
        </w:rPr>
        <w:t>，在深子公司</w:t>
      </w:r>
      <w:r>
        <w:rPr>
          <w:rFonts w:hint="eastAsia" w:ascii="仿宋_GB2312" w:hAnsi="仿宋_GB2312" w:eastAsia="仿宋_GB2312" w:cs="仿宋_GB2312"/>
          <w:color w:val="auto"/>
          <w:sz w:val="32"/>
          <w:szCs w:val="32"/>
        </w:rPr>
        <w:t>相关</w:t>
      </w:r>
      <w:r>
        <w:rPr>
          <w:rFonts w:ascii="仿宋_GB2312" w:hAnsi="仿宋_GB2312" w:eastAsia="仿宋_GB2312" w:cs="仿宋_GB2312"/>
          <w:color w:val="auto"/>
          <w:sz w:val="32"/>
          <w:szCs w:val="32"/>
        </w:rPr>
        <w:t>数据纳入</w:t>
      </w:r>
      <w:r>
        <w:rPr>
          <w:rFonts w:hint="eastAsia" w:ascii="仿宋_GB2312" w:hAnsi="仿宋_GB2312" w:eastAsia="仿宋_GB2312" w:cs="仿宋_GB2312"/>
          <w:color w:val="auto"/>
          <w:sz w:val="32"/>
          <w:szCs w:val="32"/>
        </w:rPr>
        <w:t>前款的数据</w:t>
      </w:r>
      <w:r>
        <w:rPr>
          <w:rFonts w:ascii="仿宋_GB2312" w:hAnsi="仿宋_GB2312" w:eastAsia="仿宋_GB2312" w:cs="仿宋_GB2312"/>
          <w:color w:val="auto"/>
          <w:sz w:val="32"/>
          <w:szCs w:val="32"/>
        </w:rPr>
        <w:t>核算范围。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1.网络填报时间：202</w:t>
      </w:r>
      <w:r>
        <w:rPr>
          <w:rFonts w:hint="default" w:ascii="仿宋_GB2312" w:hAnsi="仿宋_GB2312" w:eastAsia="仿宋_GB2312" w:cs="仿宋_GB2312"/>
          <w:color w:val="auto"/>
          <w:sz w:val="32"/>
          <w:szCs w:val="32"/>
          <w:highlight w:val="none"/>
          <w:lang w:eastAsia="zh-CN"/>
        </w:rPr>
        <w:t>4</w:t>
      </w:r>
      <w:r>
        <w:rPr>
          <w:rFonts w:hint="default"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9：00</w:t>
      </w:r>
      <w:r>
        <w:rPr>
          <w:rFonts w:hint="default"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eastAsia="zh-CN"/>
        </w:rPr>
        <w:t>4</w:t>
      </w:r>
      <w:r>
        <w:rPr>
          <w:rFonts w:hint="default"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rPr>
        <w:t>日18：00；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yellow"/>
        </w:rPr>
      </w:pPr>
      <w:r>
        <w:rPr>
          <w:rFonts w:hint="default" w:ascii="仿宋_GB2312" w:hAnsi="仿宋_GB2312" w:eastAsia="仿宋_GB2312" w:cs="仿宋_GB2312"/>
          <w:color w:val="auto"/>
          <w:sz w:val="32"/>
          <w:szCs w:val="32"/>
          <w:highlight w:val="none"/>
        </w:rPr>
        <w:t>2.材料提交时间</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eastAsia="zh-CN"/>
        </w:rPr>
        <w:t>4</w:t>
      </w:r>
      <w:r>
        <w:rPr>
          <w:rFonts w:hint="default"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default"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9：00</w:t>
      </w:r>
      <w:r>
        <w:rPr>
          <w:rFonts w:hint="default"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eastAsia="zh-CN"/>
        </w:rPr>
        <w:t>4</w:t>
      </w:r>
      <w:r>
        <w:rPr>
          <w:rFonts w:hint="default"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val="en-US" w:eastAsia="zh-CN"/>
        </w:rPr>
        <w:t>9</w:t>
      </w:r>
      <w:r>
        <w:rPr>
          <w:rFonts w:hint="default" w:ascii="仿宋_GB2312" w:hAnsi="仿宋_GB2312" w:eastAsia="仿宋_GB2312" w:cs="仿宋_GB2312"/>
          <w:color w:val="auto"/>
          <w:sz w:val="32"/>
          <w:szCs w:val="32"/>
          <w:highlight w:val="none"/>
        </w:rPr>
        <w:t>日17：30。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申报单位在上述规定时间内在线填报、提交材料。逾期不予受理。（注意事项：网络填报时间截止后将不再受理新申请以及修改后再次提交的申请）。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（三）受理地点：深圳市福田区福中三路市民中心B区市</w:t>
      </w:r>
      <w:r>
        <w:rPr>
          <w:rFonts w:hint="eastAsia" w:ascii="仿宋_GB2312" w:hAnsi="仿宋_GB2312" w:eastAsia="仿宋_GB2312" w:cs="仿宋_GB2312"/>
          <w:color w:val="auto"/>
          <w:sz w:val="32"/>
          <w:szCs w:val="32"/>
          <w:lang w:eastAsia="zh-CN"/>
        </w:rPr>
        <w:t>政务服务中心</w:t>
      </w:r>
      <w:r>
        <w:rPr>
          <w:rFonts w:hint="default" w:ascii="仿宋_GB2312" w:hAnsi="仿宋_GB2312" w:eastAsia="仿宋_GB2312" w:cs="仿宋_GB2312"/>
          <w:color w:val="auto"/>
          <w:sz w:val="32"/>
          <w:szCs w:val="32"/>
        </w:rPr>
        <w:t>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rPr>
        <w:t>预约指南：“i深圳”APP，操作流程：【办事预约】—【深圳市】—【深圳市政务服务中心-西厅】—【</w:t>
      </w:r>
      <w:r>
        <w:rPr>
          <w:rFonts w:hint="eastAsia" w:ascii="仿宋_GB2312" w:hAnsi="仿宋_GB2312" w:eastAsia="仿宋_GB2312" w:cs="仿宋_GB2312"/>
          <w:color w:val="auto"/>
          <w:sz w:val="32"/>
          <w:szCs w:val="32"/>
          <w:lang w:val="en-US" w:eastAsia="zh-CN"/>
        </w:rPr>
        <w:t>综合受理业务（非社保）</w:t>
      </w:r>
      <w:r>
        <w:rPr>
          <w:rFonts w:hint="default" w:ascii="仿宋_GB2312" w:hAnsi="仿宋_GB2312" w:eastAsia="仿宋_GB2312" w:cs="仿宋_GB2312"/>
          <w:color w:val="auto"/>
          <w:sz w:val="32"/>
          <w:szCs w:val="32"/>
        </w:rPr>
        <w:t>】—【在线预约】。请按照预约时段，错峰提交材料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发布申报</w:t>
      </w:r>
      <w:r>
        <w:rPr>
          <w:rFonts w:hint="eastAsia" w:ascii="仿宋_GB2312" w:hAnsi="仿宋_GB2312" w:eastAsia="仿宋_GB2312" w:cs="仿宋_GB2312"/>
          <w:color w:val="auto"/>
          <w:sz w:val="32"/>
          <w:szCs w:val="32"/>
          <w:lang w:eastAsia="zh-CN"/>
        </w:rPr>
        <w:t>指引</w:t>
      </w:r>
      <w:r>
        <w:rPr>
          <w:rFonts w:hint="default" w:ascii="仿宋_GB2312" w:hAnsi="仿宋_GB2312" w:eastAsia="仿宋_GB2312" w:cs="仿宋_GB2312"/>
          <w:color w:val="auto"/>
          <w:sz w:val="32"/>
          <w:szCs w:val="32"/>
        </w:rPr>
        <w:t>——申报单位网上申报——初审——申报单位向市</w:t>
      </w:r>
      <w:r>
        <w:rPr>
          <w:rFonts w:hint="eastAsia" w:ascii="仿宋_GB2312" w:hAnsi="仿宋_GB2312" w:eastAsia="仿宋_GB2312" w:cs="仿宋_GB2312"/>
          <w:color w:val="auto"/>
          <w:sz w:val="32"/>
          <w:szCs w:val="32"/>
          <w:lang w:eastAsia="zh-CN"/>
        </w:rPr>
        <w:t>政务服务中心</w:t>
      </w:r>
      <w:r>
        <w:rPr>
          <w:rFonts w:hint="default" w:ascii="仿宋_GB2312" w:hAnsi="仿宋_GB2312" w:eastAsia="仿宋_GB2312" w:cs="仿宋_GB2312"/>
          <w:color w:val="auto"/>
          <w:sz w:val="32"/>
          <w:szCs w:val="32"/>
        </w:rPr>
        <w:t>收文窗口提交申报材料——形式审查——资质审查——征求相关单位意见（核查</w:t>
      </w:r>
      <w:r>
        <w:rPr>
          <w:rFonts w:hint="eastAsia" w:ascii="仿宋_GB2312" w:hAnsi="仿宋_GB2312" w:eastAsia="仿宋_GB2312" w:cs="仿宋_GB2312"/>
          <w:color w:val="auto"/>
          <w:sz w:val="32"/>
          <w:szCs w:val="32"/>
          <w:lang w:eastAsia="zh-CN"/>
        </w:rPr>
        <w:t>相关</w:t>
      </w:r>
      <w:r>
        <w:rPr>
          <w:rFonts w:hint="default" w:ascii="仿宋_GB2312" w:hAnsi="仿宋_GB2312" w:eastAsia="仿宋_GB2312" w:cs="仿宋_GB2312"/>
          <w:color w:val="auto"/>
          <w:sz w:val="32"/>
          <w:szCs w:val="32"/>
        </w:rPr>
        <w:t>数据、是否被列入严重失信主体名单等情况）——核定认定名单——社会公示——发布认定通知——</w:t>
      </w:r>
      <w:r>
        <w:rPr>
          <w:rFonts w:hint="eastAsia" w:ascii="仿宋_GB2312" w:hAnsi="仿宋_GB2312" w:eastAsia="仿宋_GB2312" w:cs="仿宋_GB2312"/>
          <w:color w:val="auto"/>
          <w:sz w:val="32"/>
          <w:szCs w:val="32"/>
        </w:rPr>
        <w:t>颁发认定证书</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自受理之日起</w:t>
      </w:r>
      <w:r>
        <w:rPr>
          <w:rFonts w:hint="eastAsia" w:ascii="仿宋_GB2312" w:hAnsi="仿宋_GB2312" w:eastAsia="仿宋_GB2312" w:cs="仿宋_GB2312"/>
          <w:color w:val="auto"/>
          <w:sz w:val="32"/>
          <w:szCs w:val="32"/>
          <w:lang w:val="en-US" w:eastAsia="zh-CN"/>
        </w:rPr>
        <w:t>75个工作日（不包括特殊审查时限）内完成</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rPr>
      </w:pPr>
    </w:p>
    <w:sectPr>
      <w:footerReference r:id="rId3" w:type="default"/>
      <w:pgSz w:w="11906" w:h="16838"/>
      <w:pgMar w:top="1814" w:right="1474" w:bottom="181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FC5B51AD"/>
    <w:rsid w:val="2B81447D"/>
    <w:rsid w:val="37FB27F0"/>
    <w:rsid w:val="3B8FCF04"/>
    <w:rsid w:val="3FABA9DA"/>
    <w:rsid w:val="49BF51A0"/>
    <w:rsid w:val="4E8BBECB"/>
    <w:rsid w:val="51E7FD78"/>
    <w:rsid w:val="57ED6492"/>
    <w:rsid w:val="57FFB5F7"/>
    <w:rsid w:val="5A7FF7E3"/>
    <w:rsid w:val="5B7F2119"/>
    <w:rsid w:val="5DBF0BCB"/>
    <w:rsid w:val="5ED26E03"/>
    <w:rsid w:val="5FEF02CB"/>
    <w:rsid w:val="6B8CCBA8"/>
    <w:rsid w:val="6DBC1D21"/>
    <w:rsid w:val="6EDD8AC4"/>
    <w:rsid w:val="6FFFB187"/>
    <w:rsid w:val="73799558"/>
    <w:rsid w:val="7B7F36D9"/>
    <w:rsid w:val="7EFB0154"/>
    <w:rsid w:val="8377E84C"/>
    <w:rsid w:val="AD7FC223"/>
    <w:rsid w:val="ADDDB027"/>
    <w:rsid w:val="B38C8A8B"/>
    <w:rsid w:val="BE7A87B0"/>
    <w:rsid w:val="BFDE1F78"/>
    <w:rsid w:val="CF7B7FE9"/>
    <w:rsid w:val="D29FCA5B"/>
    <w:rsid w:val="DCEDF687"/>
    <w:rsid w:val="F5BFC917"/>
    <w:rsid w:val="F5EF8A6B"/>
    <w:rsid w:val="FBFF2FA8"/>
    <w:rsid w:val="FC5B51AD"/>
    <w:rsid w:val="FEBF1D93"/>
    <w:rsid w:val="FFCF0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Plain Text"/>
    <w:basedOn w:val="1"/>
    <w:next w:val="2"/>
    <w:qFormat/>
    <w:uiPriority w:val="0"/>
    <w:rPr>
      <w:rFonts w:ascii="宋体" w:hAnsi="Courier New" w:cs="宋体"/>
      <w:kern w:val="0"/>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1"/>
    <w:basedOn w:val="1"/>
    <w:qFormat/>
    <w:uiPriority w:val="0"/>
    <w:pPr>
      <w:spacing w:before="0" w:beforeAutospacing="0" w:after="0"/>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1628</Words>
  <Characters>1742</Characters>
  <Lines>0</Lines>
  <Paragraphs>0</Paragraphs>
  <TotalTime>70</TotalTime>
  <ScaleCrop>false</ScaleCrop>
  <LinksUpToDate>false</LinksUpToDate>
  <CharactersWithSpaces>1742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2022-04-06T15:59:00Z</dcterms:created>
  <dc:creator>王瑾</dc:creator>
  <cp:lastModifiedBy>姬艳丽</cp:lastModifiedBy>
  <dcterms:modified xsi:type="dcterms:W3CDTF">2024-07-02T09:41:34Z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B12CAF68BE5947FFBAFE0683257E132A_13</vt:lpwstr>
  </property>
</Properties>
</file>