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3D52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outlineLvl w:val="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530DB0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</w:pPr>
    </w:p>
    <w:p w14:paraId="6E524F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深圳市瞪羚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独角兽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企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业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梯度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遴选评价</w:t>
      </w:r>
    </w:p>
    <w:p w14:paraId="74F00C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指标体系</w:t>
      </w:r>
      <w:bookmarkStart w:id="0" w:name="_GoBack"/>
      <w:bookmarkEnd w:id="0"/>
    </w:p>
    <w:p w14:paraId="6A958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A9242E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企业定义</w:t>
      </w:r>
    </w:p>
    <w:p w14:paraId="55FA6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“瞪羚”企业是指商业模式得到市场认可、收入或雇员人数达到一定规模，已成功跨越创业死亡谷并进入高速成长期的高成长企业。</w:t>
      </w:r>
    </w:p>
    <w:p w14:paraId="5EF28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“独角兽”企业是指成立10年以内，估值超过10亿美元（或70亿人民币）、获得过私募投资且尚未上市的企业。</w:t>
      </w:r>
    </w:p>
    <w:p w14:paraId="3CC8001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基本原则</w:t>
      </w:r>
    </w:p>
    <w:p w14:paraId="33597B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（一）重点挖掘。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重点从创始团队、产品技术、市场前景、资本认可度等方面开展挖掘和发现工作，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精确锁定具有“硬核”科技、爆发式成长潜力的企业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和项目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。密切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关注高校系和大厂系的创始团队和初创企业，广泛收集各类竞赛系和榜单系项目或企业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 w14:paraId="1A2620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公平公正。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组建专家评价委员会，委员会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参与遴选指标评估、遴选机制设计、遴选名单确定等环节，打造公平公正、权威专业的评价环境，树立评价体系的专业性和评价结果的权威性。</w:t>
      </w:r>
    </w:p>
    <w:p w14:paraId="29413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（三）梯度培育。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建立瞪羚企业、独角兽企业培育库。其中，瞪羚企业分为瞪羚、超级瞪羚两个梯度；独角兽企业分为种子独角兽、潜在独角兽、独角兽（含超级独角兽）三个梯度。</w:t>
      </w:r>
    </w:p>
    <w:p w14:paraId="3B64006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（四）动态管理。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每年开展瞪羚企业、独角兽企业遴选工作，持续发现和挖掘一批高成长创新型企业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对于不再符合认定条件的企业，建立退出机制。</w:t>
      </w:r>
    </w:p>
    <w:p w14:paraId="5897C903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行业要求</w:t>
      </w:r>
    </w:p>
    <w:p w14:paraId="4A1C2E5F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40404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入库企业所属行业和细分领域符合深圳市“20+8”产业集群发展方向，具体如下：</w:t>
      </w:r>
    </w:p>
    <w:p w14:paraId="0431DE45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（一）战略性新兴产业：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半导体与集成电路、人工智能、低空经济与空天、新能源、智能网联汽车、生物医药、高端医疗器械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网络与通信、超高清视频显示、智能终端、软件与信息服务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智能传感器、高端装备与仪器、机器人、高性能材料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数字创意、现代时尚、安全节能环保、大健康、海洋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 w:color="auto" w:fill="auto"/>
          <w:lang w:eastAsia="zh-CN"/>
        </w:rPr>
        <w:t>。</w:t>
      </w:r>
    </w:p>
    <w:p w14:paraId="09013503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（二）未来产业：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合成生物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光载信息、智能机器人、细胞与基因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脑科学与脑机工程、深地深海、量子信息、前沿新材料。</w:t>
      </w:r>
    </w:p>
    <w:p w14:paraId="394626E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企业梯度培育体系</w:t>
      </w:r>
    </w:p>
    <w:p w14:paraId="2C82DBB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依据企业规模、成长速度、创新能力、融资金额、投后估值等指标，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瞪羚企业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划分为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瞪羚、超级瞪羚两个梯度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独角兽企业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划分为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种子独角兽、潜在独角兽、独角兽（含超级独角兽）三个梯度。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其中，瞪羚企业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以企业规模、成长速度、创新能力等为核心指标，独角兽企业以融资金额、投后估值等为核心指标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138D58A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3AA4D8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基本条件</w:t>
      </w:r>
    </w:p>
    <w:p w14:paraId="4DDE5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（一）申请主体位于深圳辖区内，具有健全的财务会计管理制度，经营纳税及信用情况良好，具有独立法人资格、实行独立核算的企业。</w:t>
      </w:r>
    </w:p>
    <w:p w14:paraId="01598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（二）申请主体所属行业和细分领域符合深圳市“20+8”产业集群发展方向。</w:t>
      </w:r>
    </w:p>
    <w:p w14:paraId="25944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（三）申请主体未列入经营异常名录和严重违法失信企业名单，且在申报年度的近三年内未发生重大安全、重大质量事故和严重环境违法、科研严重失信行为。</w:t>
      </w:r>
    </w:p>
    <w:p w14:paraId="7805C1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评价指标</w:t>
      </w:r>
    </w:p>
    <w:p w14:paraId="3D01D4AE"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/>
        <w:jc w:val="both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瞪羚企业</w:t>
      </w:r>
      <w:r>
        <w:rPr>
          <w:rFonts w:hint="eastAsia" w:cs="Times New Roman"/>
          <w:b w:val="0"/>
          <w:bCs/>
          <w:sz w:val="32"/>
          <w:szCs w:val="32"/>
          <w:lang w:val="en-US" w:eastAsia="zh-CN"/>
        </w:rPr>
        <w:t>。</w:t>
      </w:r>
    </w:p>
    <w:p w14:paraId="106BCC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瞪羚企业分为瞪羚、超级瞪羚两个梯度，主要以企业规模、成长速度、创新能力作为遴选的基本指标。瞪羚企业、超级瞪羚企业需为高新技术企业、创新型中小企业或专精特新中小企业。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瞪羚企业入选需满足以下条件之一：</w:t>
      </w:r>
    </w:p>
    <w:p w14:paraId="2A1D1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1.企业成立时间距基期年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ootnoteReference w:id="0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不超过10年（不含基期年），基期年营业收入达到3000万元且三年复合增长率达到20%，且截止年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ootnoteReference w:id="1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正增长。</w:t>
      </w:r>
    </w:p>
    <w:p w14:paraId="6F311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2.企业成立时间距基期年不超过10年（不含基期年），基期年雇员总数达到100人且三年复合增长率达到30%，且截止年正增长。</w:t>
      </w:r>
    </w:p>
    <w:p w14:paraId="757F6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3.企业成立时间距截止年不超过5年（含截止年），截止年营业收入达到5亿元，且3年内营业收入无大幅下降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ootnoteReference w:id="2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0317A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4.企业成立时间距截止年不超过10年（含截止年），截止年营业收入达到10亿元，且3年内营业收入无大幅下降。</w:t>
      </w:r>
    </w:p>
    <w:p w14:paraId="282D6B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示例：若遴选2024年瞪羚企业，计算营收或雇员人数三年复合增长率需要2020年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—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2023年四年数据，则基期年为2020年，截止年为2023年，企业成立时间距基期年不超过10年是指成立时间不早于2010年，成立时间距截止年不超过5年是指成立时间不早于2019年，成立时间距截止年不超过10年是指成立时间不早于2014年。</w:t>
      </w:r>
    </w:p>
    <w:p w14:paraId="72732B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2" w:firstLineChars="200"/>
        <w:jc w:val="both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企业三年复合增长率=</w:t>
      </w:r>
      <w:r>
        <w:rPr>
          <w:rFonts w:hint="eastAsia" w:ascii="Times New Roman" w:hAnsi="Times New Roman" w:eastAsia="黑体" w:cs="Times New Roman"/>
          <w:position w:val="-28"/>
          <w:sz w:val="28"/>
          <w:szCs w:val="28"/>
          <w:lang w:val="en-US" w:eastAsia="zh-CN"/>
        </w:rPr>
        <w:object>
          <v:shape id="_x0000_i1025" o:spt="75" type="#_x0000_t75" style="height:42.8pt;width:242.8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</w:p>
    <w:p w14:paraId="3AD10D94"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/>
        <w:jc w:val="both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独角兽企业</w:t>
      </w:r>
      <w:r>
        <w:rPr>
          <w:rFonts w:hint="eastAsia" w:cs="Times New Roman"/>
          <w:b w:val="0"/>
          <w:bCs/>
          <w:sz w:val="32"/>
          <w:szCs w:val="32"/>
          <w:lang w:val="en-US" w:eastAsia="zh-CN"/>
        </w:rPr>
        <w:t>。</w:t>
      </w:r>
    </w:p>
    <w:p w14:paraId="37254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独角兽企业分为种子独角兽、潜在独角兽、独角兽（含超级独角兽）三个梯度，主要以企业融资投后估值作为遴选的基本指标。</w:t>
      </w:r>
    </w:p>
    <w:p w14:paraId="1859D9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1.独角兽企业入选需同时满足以下条件：</w:t>
      </w:r>
    </w:p>
    <w:p w14:paraId="29610D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（1）成立时间不超过10年；</w:t>
      </w:r>
    </w:p>
    <w:p w14:paraId="53F5A3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（2）获得过股权投资，且尚未上市（不含新三板挂牌）；</w:t>
      </w:r>
    </w:p>
    <w:p w14:paraId="50A559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（3）最新一轮融资投后估值超过（含）70亿元人民币以上，且累计融资金额超过（含）3.5亿元人民币；</w:t>
      </w:r>
    </w:p>
    <w:p w14:paraId="42EF29A1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（4）符合（1）（2）要求，且最新一轮融资投后估值超过（含）700亿元人民币以上，累计融资金额超过（含）3.5亿元人民币的企业为超级独角兽企业。</w:t>
      </w:r>
    </w:p>
    <w:p w14:paraId="186B31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2.潜在独角兽企业入选需满足以下条件之一：</w:t>
      </w:r>
    </w:p>
    <w:p w14:paraId="01C97E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成立5年内，获得过股权投资，且尚未上市（不含新三板挂牌）；最新一轮融资投后估值超过（含）7亿元人民币以上，且累计融资金额超过（含）3500万元人民币。</w:t>
      </w:r>
    </w:p>
    <w:p w14:paraId="1669B3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成立5—9年，获得过股权投资，且尚未上市（不含新三板挂牌）；最新一轮融资投后估值超过（含）35亿元人民币以上，且累计融资金额超过（含）1.75亿元人民币。</w:t>
      </w:r>
    </w:p>
    <w:p w14:paraId="4EA5EB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3.种子独角兽企业入选需同时满足以下条件：</w:t>
      </w:r>
    </w:p>
    <w:p w14:paraId="4B3D89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（1）成立时间不超过5年；</w:t>
      </w:r>
    </w:p>
    <w:p w14:paraId="15848F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（2）获得过股权投资，且尚未上市（不含新三板挂牌）；</w:t>
      </w:r>
    </w:p>
    <w:p w14:paraId="4CFA72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（3）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最新一轮融资投后估值超过（含）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3亿元人民币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，且累计融资金额超过（含）1000万元人民币。</w:t>
      </w:r>
    </w:p>
    <w:p w14:paraId="0CE42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1CD82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eastAsia="zh-CN" w:bidi="ar-SA"/>
        </w:rPr>
      </w:pPr>
    </w:p>
    <w:p w14:paraId="5E0DE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</w:p>
    <w:p w14:paraId="08E0071E"/>
    <w:p w14:paraId="653B0799"/>
    <w:p w14:paraId="325ED73B"/>
    <w:sectPr>
      <w:footerReference r:id="rId4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A497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9E45260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E45260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 w14:paraId="5F71FA9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0" w:line="279" w:lineRule="auto"/>
        <w:jc w:val="both"/>
        <w:textAlignment w:val="auto"/>
        <w:rPr>
          <w:rFonts w:hint="eastAsia" w:ascii="宋体" w:hAnsi="宋体" w:cs="Times New Roman"/>
          <w:b w:val="0"/>
          <w:bCs w:val="0"/>
          <w:color w:val="auto"/>
          <w:lang w:val="en-US"/>
        </w:rPr>
      </w:pPr>
      <w:r>
        <w:rPr>
          <w:rFonts w:hint="eastAsia" w:ascii="宋体" w:hAnsi="宋体" w:cs="Times New Roman"/>
          <w:b w:val="0"/>
          <w:bCs w:val="0"/>
          <w:color w:val="auto"/>
          <w:lang w:val="en-US" w:eastAsia="zh-CN"/>
        </w:rPr>
        <w:t>1.</w:t>
      </w:r>
      <w:r>
        <w:rPr>
          <w:rFonts w:hint="eastAsia" w:ascii="宋体" w:hAnsi="宋体" w:cs="Times New Roman"/>
          <w:b w:val="0"/>
          <w:bCs w:val="0"/>
          <w:color w:val="auto"/>
        </w:rPr>
        <w:t>基期年</w:t>
      </w:r>
      <w:r>
        <w:rPr>
          <w:rFonts w:hint="eastAsia" w:ascii="宋体" w:hAnsi="宋体" w:cs="Times New Roman"/>
          <w:b w:val="0"/>
          <w:bCs w:val="0"/>
          <w:color w:val="auto"/>
          <w:lang w:val="en-US" w:eastAsia="zh-CN"/>
        </w:rPr>
        <w:t>是指分析某一特定时间段内的数据变化情况时，用作比较基准的年份。如分析2020-2023年企业营业收入变化情况，基期年是指2020年。</w:t>
      </w:r>
    </w:p>
  </w:footnote>
  <w:footnote w:id="1">
    <w:p w14:paraId="273304D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0" w:line="279" w:lineRule="auto"/>
        <w:jc w:val="both"/>
        <w:textAlignment w:val="auto"/>
        <w:rPr>
          <w:rFonts w:hint="eastAsia" w:ascii="宋体" w:hAnsi="宋体" w:cs="Times New Roman"/>
          <w:b w:val="0"/>
          <w:bCs w:val="0"/>
        </w:rPr>
      </w:pPr>
      <w:r>
        <w:rPr>
          <w:rFonts w:hint="eastAsia" w:ascii="宋体" w:hAnsi="宋体" w:cs="Times New Roman"/>
          <w:b w:val="0"/>
          <w:bCs w:val="0"/>
          <w:color w:val="auto"/>
          <w:lang w:val="en-US" w:eastAsia="zh-CN"/>
        </w:rPr>
        <w:t>2.</w:t>
      </w:r>
      <w:r>
        <w:rPr>
          <w:rFonts w:hint="eastAsia" w:ascii="宋体" w:hAnsi="宋体" w:cs="Times New Roman"/>
          <w:b w:val="0"/>
          <w:bCs w:val="0"/>
          <w:color w:val="auto"/>
        </w:rPr>
        <w:t>截止年与基期年相对应，截止年是指数据分析时间段的最后一年</w:t>
      </w:r>
      <w:r>
        <w:rPr>
          <w:rFonts w:hint="eastAsia" w:ascii="宋体" w:hAnsi="宋体" w:cs="Times New Roman"/>
          <w:b w:val="0"/>
          <w:bCs w:val="0"/>
          <w:color w:val="auto"/>
          <w:lang w:eastAsia="zh-CN"/>
        </w:rPr>
        <w:t>。</w:t>
      </w:r>
      <w:r>
        <w:rPr>
          <w:rFonts w:hint="eastAsia" w:ascii="宋体" w:hAnsi="宋体" w:cs="Times New Roman"/>
          <w:b w:val="0"/>
          <w:bCs w:val="0"/>
          <w:color w:val="auto"/>
          <w:lang w:val="en-US" w:eastAsia="zh-CN"/>
        </w:rPr>
        <w:t>如分析2020-2023年企业营业收入变化情况，截止年是指2023年。</w:t>
      </w:r>
    </w:p>
  </w:footnote>
  <w:footnote w:id="2">
    <w:p w14:paraId="5923141A">
      <w:pPr>
        <w:pStyle w:val="4"/>
        <w:snapToGrid w:val="0"/>
        <w:spacing w:after="0" w:line="279" w:lineRule="auto"/>
        <w:jc w:val="both"/>
        <w:rPr>
          <w:rFonts w:hint="eastAsia" w:ascii="宋体" w:hAnsi="宋体" w:cs="Times New Roman"/>
          <w:color w:val="auto"/>
        </w:rPr>
      </w:pPr>
      <w:r>
        <w:rPr>
          <w:rFonts w:hint="eastAsia" w:ascii="宋体" w:hAnsi="宋体" w:cs="Times New Roman"/>
          <w:color w:val="auto"/>
          <w:lang w:val="en-US" w:eastAsia="zh-CN"/>
        </w:rPr>
        <w:t>3.3年内营业收入无大幅下降是指3年内营业收入同比增长率均不低于-30%。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6"/>
    <w:footnote w:id="7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45E58"/>
    <w:rsid w:val="06E45E58"/>
    <w:rsid w:val="5B8A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50" w:beforeLines="50" w:beforeAutospacing="0" w:after="50" w:afterLines="50" w:afterAutospacing="0" w:line="560" w:lineRule="exact"/>
      <w:ind w:firstLine="880" w:firstLineChars="200"/>
      <w:outlineLvl w:val="1"/>
    </w:pPr>
    <w:rPr>
      <w:rFonts w:ascii="Times New Roman" w:hAnsi="Times New Roman" w:eastAsia="楷体_GB2312"/>
      <w:b/>
      <w:szCs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7">
    <w:name w:val="footnote reference"/>
    <w:basedOn w:val="6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2009</Words>
  <Characters>2082</Characters>
  <Lines>0</Lines>
  <Paragraphs>0</Paragraphs>
  <TotalTime>0</TotalTime>
  <ScaleCrop>false</ScaleCrop>
  <LinksUpToDate>false</LinksUpToDate>
  <CharactersWithSpaces>2082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2025-03-20T03:50:00Z</dcterms:created>
  <dc:creator>lin彤</dc:creator>
  <cp:lastModifiedBy>姬艳丽</cp:lastModifiedBy>
  <dcterms:modified xsi:type="dcterms:W3CDTF">2025-03-20T09:54:37Z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35D38E07C179437B99ED3D2048197BC0_13</vt:lpwstr>
  </property>
  <property fmtid="{D5CDD505-2E9C-101B-9397-08002B2CF9AE}" pid="4" name="KSOTemplateDocerSaveRecord">
    <vt:lpwstr>eyJoZGlkIjoiZDRhZmZhNmRjOTZlOGJmN2I2YzBiMWQ5MDI1YzljNTkiLCJ1c2VySWQiOiIzNjAzMjM4OTMifQ==</vt:lpwstr>
  </property>
</Properties>
</file>