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C77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附 </w:t>
      </w:r>
      <w:r>
        <w:rPr>
          <w:rFonts w:hint="default" w:ascii="黑体" w:hAnsi="黑体" w:eastAsia="黑体" w:cs="黑体"/>
          <w:kern w:val="2"/>
          <w:sz w:val="32"/>
          <w:szCs w:val="32"/>
          <w:lang w:eastAsia="zh-CN" w:bidi="ar-SA"/>
        </w:rPr>
        <w:t xml:space="preserve"> </w:t>
      </w:r>
      <w:r>
        <w:rPr>
          <w:rFonts w:hint="eastAsia" w:ascii="黑体" w:hAnsi="黑体" w:eastAsia="黑体" w:cs="黑体"/>
          <w:kern w:val="2"/>
          <w:sz w:val="32"/>
          <w:szCs w:val="32"/>
          <w:lang w:val="en-US" w:eastAsia="zh-CN" w:bidi="ar-SA"/>
        </w:rPr>
        <w:t>件</w:t>
      </w:r>
    </w:p>
    <w:p w14:paraId="5D2F3753">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kern w:val="2"/>
          <w:sz w:val="32"/>
          <w:szCs w:val="32"/>
          <w:lang w:val="en-US" w:eastAsia="zh-CN" w:bidi="ar-SA"/>
        </w:rPr>
      </w:pPr>
    </w:p>
    <w:p w14:paraId="0D16B6D2">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深圳市商务局202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年度中央资金</w:t>
      </w:r>
    </w:p>
    <w:p w14:paraId="0DF19598">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（服务贸易事项）申报指南</w:t>
      </w:r>
    </w:p>
    <w:p w14:paraId="715467BC">
      <w:pPr>
        <w:spacing w:line="560" w:lineRule="exact"/>
        <w:ind w:firstLine="640" w:firstLineChars="200"/>
        <w:rPr>
          <w:rFonts w:ascii="黑体" w:hAnsi="黑体" w:eastAsia="黑体"/>
          <w:sz w:val="32"/>
          <w:szCs w:val="32"/>
        </w:rPr>
      </w:pPr>
    </w:p>
    <w:p w14:paraId="2684C3B2">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14:paraId="1E2D7A1D">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创新发展服务贸易，支持服务贸易出口，加快服务外包转型升级。</w:t>
      </w:r>
      <w:r>
        <w:rPr>
          <w:rFonts w:hint="eastAsia" w:ascii="仿宋_GB2312" w:hAnsi="仿宋_GB2312" w:eastAsia="仿宋_GB2312"/>
          <w:sz w:val="32"/>
          <w:szCs w:val="32"/>
          <w:lang w:val="en-US" w:eastAsia="zh-CN"/>
        </w:rPr>
        <w:t>鼓励服务外包企业承接国际服务外包业务</w:t>
      </w:r>
      <w:r>
        <w:rPr>
          <w:rFonts w:hint="eastAsia" w:ascii="仿宋_GB2312" w:hAnsi="仿宋_GB2312"/>
          <w:sz w:val="32"/>
          <w:szCs w:val="32"/>
          <w:lang w:val="en-US" w:eastAsia="zh-CN"/>
        </w:rPr>
        <w:t>，支持</w:t>
      </w:r>
      <w:r>
        <w:rPr>
          <w:rFonts w:hint="eastAsia" w:ascii="仿宋_GB2312" w:eastAsia="仿宋_GB2312"/>
          <w:sz w:val="32"/>
          <w:szCs w:val="32"/>
        </w:rPr>
        <w:t>扩大</w:t>
      </w:r>
      <w:r>
        <w:rPr>
          <w:rFonts w:hint="eastAsia" w:ascii="仿宋_GB2312"/>
        </w:rPr>
        <w:t>除《中国禁止出口限制出口技术目录》（商务部 科技部公告2023年第57号）所列的技术之外的技术出口</w:t>
      </w:r>
      <w:r>
        <w:rPr>
          <w:rFonts w:hint="eastAsia" w:ascii="仿宋_GB2312" w:eastAsia="仿宋_GB2312"/>
          <w:sz w:val="32"/>
          <w:szCs w:val="32"/>
        </w:rPr>
        <w:t>。</w:t>
      </w:r>
    </w:p>
    <w:p w14:paraId="450C009F">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sz w:val="32"/>
          <w:szCs w:val="32"/>
        </w:rPr>
        <w:t>二、设定依据</w:t>
      </w:r>
    </w:p>
    <w:p w14:paraId="27728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14:paraId="2B7E2834">
      <w:pPr>
        <w:widowControl/>
        <w:spacing w:line="560" w:lineRule="exact"/>
        <w:ind w:firstLine="640" w:firstLineChars="200"/>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1.</w:t>
      </w:r>
      <w:r>
        <w:rPr>
          <w:rFonts w:hint="eastAsia" w:ascii="仿宋_GB2312" w:eastAsia="仿宋_GB2312"/>
          <w:color w:val="000000"/>
          <w:sz w:val="32"/>
          <w:szCs w:val="32"/>
          <w:highlight w:val="none"/>
          <w:lang w:eastAsia="zh-CN"/>
        </w:rPr>
        <w:t>商务部相关文件</w:t>
      </w:r>
      <w:r>
        <w:rPr>
          <w:rFonts w:hint="eastAsia" w:ascii="仿宋_GB2312" w:eastAsia="仿宋_GB2312"/>
          <w:color w:val="000000"/>
          <w:sz w:val="32"/>
          <w:szCs w:val="32"/>
          <w:highlight w:val="none"/>
        </w:rPr>
        <w:t>。</w:t>
      </w:r>
    </w:p>
    <w:p w14:paraId="31C50CB1">
      <w:pPr>
        <w:widowControl/>
        <w:spacing w:line="560" w:lineRule="exact"/>
        <w:ind w:firstLine="640" w:firstLineChars="200"/>
        <w:rPr>
          <w:rFonts w:hint="default" w:ascii="仿宋_GB2312"/>
          <w:lang w:val="en-US" w:eastAsia="zh-CN"/>
        </w:rPr>
      </w:pPr>
      <w:r>
        <w:rPr>
          <w:rFonts w:hint="eastAsia" w:ascii="仿宋_GB2312"/>
          <w:lang w:val="en-US" w:eastAsia="zh-CN"/>
        </w:rPr>
        <w:t>2.《服务外包产业重点发展领域指导目录》（2022年版）。</w:t>
      </w:r>
    </w:p>
    <w:p w14:paraId="02063B86">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sz w:val="32"/>
          <w:szCs w:val="32"/>
          <w:lang w:val="en-US" w:eastAsia="zh-CN"/>
        </w:rPr>
        <w:t>3</w:t>
      </w:r>
      <w:r>
        <w:rPr>
          <w:rFonts w:hint="eastAsia" w:ascii="仿宋_GB2312" w:hAnsi="仿宋_GB2312" w:eastAsia="仿宋_GB2312"/>
          <w:sz w:val="32"/>
          <w:szCs w:val="32"/>
          <w:lang w:val="en-US" w:eastAsia="zh-CN"/>
        </w:rPr>
        <w:t>.《关于推动服务外包加快转型升级的指导意见》（商服贸发〔2020〕12号）。</w:t>
      </w:r>
    </w:p>
    <w:p w14:paraId="545B796F">
      <w:pPr>
        <w:pStyle w:val="6"/>
        <w:ind w:firstLine="640" w:firstLineChars="200"/>
        <w:rPr>
          <w:rFonts w:hint="eastAsia" w:eastAsia="仿宋_GB2312"/>
          <w:lang w:val="en-US" w:eastAsia="zh-CN"/>
        </w:rPr>
      </w:pPr>
      <w:r>
        <w:rPr>
          <w:rFonts w:hint="eastAsia" w:ascii="仿宋_GB2312" w:hAnsi="仿宋_GB2312" w:eastAsia="仿宋_GB2312"/>
          <w:sz w:val="32"/>
          <w:szCs w:val="32"/>
          <w:lang w:val="en-US" w:eastAsia="zh-CN"/>
        </w:rPr>
        <w:t>4.《中国禁止出口限制出口目录》</w:t>
      </w:r>
      <w:r>
        <w:rPr>
          <w:rFonts w:hint="eastAsia" w:ascii="仿宋_GB2312" w:eastAsia="仿宋_GB2312"/>
          <w:sz w:val="32"/>
          <w:szCs w:val="32"/>
          <w:highlight w:val="none"/>
        </w:rPr>
        <w:t>（商务部、科技部公告202</w:t>
      </w:r>
      <w:r>
        <w:rPr>
          <w:rFonts w:hint="eastAsia" w:ascii="仿宋_GB2312"/>
          <w:sz w:val="32"/>
          <w:szCs w:val="32"/>
          <w:highlight w:val="none"/>
          <w:lang w:val="en-US" w:eastAsia="zh-CN"/>
        </w:rPr>
        <w:t>3</w:t>
      </w:r>
      <w:r>
        <w:rPr>
          <w:rFonts w:hint="eastAsia" w:ascii="仿宋_GB2312" w:eastAsia="仿宋_GB2312"/>
          <w:sz w:val="32"/>
          <w:szCs w:val="32"/>
          <w:highlight w:val="none"/>
        </w:rPr>
        <w:t>年第</w:t>
      </w:r>
      <w:r>
        <w:rPr>
          <w:rFonts w:hint="eastAsia" w:ascii="仿宋_GB2312"/>
          <w:sz w:val="32"/>
          <w:szCs w:val="32"/>
          <w:highlight w:val="none"/>
          <w:lang w:val="en-US" w:eastAsia="zh-CN"/>
        </w:rPr>
        <w:t>57</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p>
    <w:p w14:paraId="601DD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14:paraId="07C5E394">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14:paraId="18548E29">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14:paraId="02EF384C">
      <w:pPr>
        <w:widowControl/>
        <w:shd w:val="clear" w:color="auto" w:fill="FFFFFF"/>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14:paraId="62A8D055">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有预算限制，受财政部、商务部下达年度资金预算控制。资助金额以万元为单位按舍尾法取整，且原则上不得大于实际发生</w:t>
      </w:r>
      <w:r>
        <w:rPr>
          <w:rFonts w:hint="eastAsia" w:ascii="仿宋_GB2312" w:hAnsi="仿宋_GB2312" w:eastAsia="仿宋_GB2312" w:cs="仿宋_GB2312"/>
          <w:sz w:val="32"/>
          <w:szCs w:val="32"/>
          <w:lang w:val="en-US" w:eastAsia="zh-CN"/>
        </w:rPr>
        <w:t>或投入金额</w:t>
      </w:r>
      <w:r>
        <w:rPr>
          <w:rFonts w:hint="eastAsia" w:ascii="仿宋_GB2312" w:hAnsi="仿宋_GB2312" w:eastAsia="仿宋_GB2312"/>
          <w:sz w:val="32"/>
          <w:szCs w:val="32"/>
          <w:lang w:val="en-US" w:eastAsia="zh-CN"/>
        </w:rPr>
        <w:t>。市商务局视申报情况和预算安排，据以对资助金额、支持比例和拨付进度等进行统一调整，申报单位应无条件同意调整结果。</w:t>
      </w:r>
    </w:p>
    <w:p w14:paraId="7FB71501">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14:paraId="5BF2EAA2">
      <w:pPr>
        <w:widowControl/>
        <w:shd w:val="clear" w:color="auto" w:fill="FFFFFF"/>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基本</w:t>
      </w:r>
      <w:r>
        <w:rPr>
          <w:rFonts w:hint="eastAsia" w:ascii="楷体_GB2312" w:hAnsi="楷体_GB2312" w:eastAsia="楷体_GB2312" w:cs="楷体_GB2312"/>
          <w:bCs/>
          <w:sz w:val="32"/>
          <w:szCs w:val="32"/>
        </w:rPr>
        <w:t>条件</w:t>
      </w:r>
    </w:p>
    <w:p w14:paraId="60E4E91A">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1.申报单位为在深圳市行政区域内</w:t>
      </w:r>
      <w:r>
        <w:rPr>
          <w:rFonts w:hint="eastAsia" w:ascii="仿宋_GB2312" w:hAnsi="仿宋_GB2312"/>
          <w:sz w:val="32"/>
          <w:szCs w:val="32"/>
          <w:lang w:val="en-US" w:eastAsia="zh-CN"/>
        </w:rPr>
        <w:t>实际从事商事活动</w:t>
      </w:r>
      <w:r>
        <w:rPr>
          <w:rFonts w:hint="eastAsia" w:ascii="仿宋_GB2312" w:hAnsi="仿宋_GB2312" w:eastAsia="仿宋_GB2312"/>
          <w:sz w:val="32"/>
          <w:szCs w:val="32"/>
          <w:lang w:val="en-US" w:eastAsia="zh-CN"/>
        </w:rPr>
        <w:t>的企业、社会组织。</w:t>
      </w:r>
    </w:p>
    <w:p w14:paraId="5CAF01DB">
      <w:pPr>
        <w:widowControl/>
        <w:wordWrap w:val="0"/>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2</w:t>
      </w:r>
      <w:r>
        <w:rPr>
          <w:rFonts w:hint="eastAsia" w:ascii="仿宋_GB2312" w:hAnsi="仿宋_GB2312" w:eastAsia="仿宋_GB2312"/>
          <w:sz w:val="32"/>
          <w:szCs w:val="32"/>
          <w:lang w:val="en-US" w:eastAsia="zh-CN"/>
        </w:rPr>
        <w:t>.申报单位未被国家、省、市有关部门列入严重失信主体名单实施失信惩戒，明确限制申请财政性资金项目，且在限制期内。</w:t>
      </w:r>
    </w:p>
    <w:p w14:paraId="56AC2CEC">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3</w:t>
      </w:r>
      <w:r>
        <w:rPr>
          <w:rFonts w:hint="eastAsia" w:ascii="仿宋_GB2312" w:hAnsi="仿宋_GB2312" w:eastAsia="仿宋_GB2312"/>
          <w:sz w:val="32"/>
          <w:szCs w:val="32"/>
          <w:lang w:val="en-US" w:eastAsia="zh-CN"/>
        </w:rPr>
        <w:t>.申报单位近三年不存在严重违法违规行为，未拖欠应缴还的财政性资金。</w:t>
      </w:r>
    </w:p>
    <w:p w14:paraId="3A837B20">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4</w:t>
      </w:r>
      <w:r>
        <w:rPr>
          <w:rFonts w:hint="eastAsia" w:ascii="仿宋_GB2312" w:hAnsi="仿宋_GB2312" w:eastAsia="仿宋_GB2312"/>
          <w:sz w:val="32"/>
          <w:szCs w:val="32"/>
          <w:lang w:val="en-US" w:eastAsia="zh-CN"/>
        </w:rPr>
        <w:t>.申报单位应</w:t>
      </w:r>
      <w:r>
        <w:rPr>
          <w:rFonts w:hint="eastAsia" w:ascii="仿宋_GB2312" w:hAnsi="仿宋_GB2312"/>
          <w:sz w:val="32"/>
          <w:szCs w:val="32"/>
          <w:lang w:val="en-US" w:eastAsia="zh-CN"/>
        </w:rPr>
        <w:t>承诺</w:t>
      </w:r>
      <w:r>
        <w:rPr>
          <w:rFonts w:hint="eastAsia" w:ascii="仿宋_GB2312" w:hAnsi="仿宋_GB2312" w:eastAsia="仿宋_GB2312"/>
          <w:sz w:val="32"/>
          <w:szCs w:val="32"/>
          <w:lang w:val="en-US" w:eastAsia="zh-CN"/>
        </w:rPr>
        <w:t>资金真实申报、合规使用和有效管理；应对申报材料的真实性、合法性、完整性负责，应如实提供本单位信用状况，承担违约责任并作出承诺，不得弄虚作假、套取、骗取财政资金。</w:t>
      </w:r>
    </w:p>
    <w:p w14:paraId="756B6986">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5</w:t>
      </w:r>
      <w:r>
        <w:rPr>
          <w:rFonts w:hint="eastAsia" w:ascii="仿宋_GB2312" w:hAnsi="仿宋_GB2312" w:eastAsia="仿宋_GB2312"/>
          <w:sz w:val="32"/>
          <w:szCs w:val="32"/>
          <w:lang w:val="en-US" w:eastAsia="zh-CN"/>
        </w:rPr>
        <w:t>.申报项目未以同一事项从其他渠道获得中央财政资金支持。</w:t>
      </w:r>
    </w:p>
    <w:p w14:paraId="5E371347">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6</w:t>
      </w:r>
      <w:r>
        <w:rPr>
          <w:rFonts w:hint="eastAsia" w:ascii="仿宋_GB2312" w:hAnsi="仿宋_GB2312" w:eastAsia="仿宋_GB2312"/>
          <w:sz w:val="32"/>
          <w:szCs w:val="32"/>
          <w:lang w:val="en-US" w:eastAsia="zh-CN"/>
        </w:rPr>
        <w:t>.项目发生时间在资金申请项目要求的期限内。</w:t>
      </w:r>
    </w:p>
    <w:p w14:paraId="06F9559B">
      <w:pPr>
        <w:spacing w:line="560" w:lineRule="exact"/>
        <w:ind w:firstLine="640" w:firstLineChars="200"/>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（二）专项条件</w:t>
      </w:r>
    </w:p>
    <w:p w14:paraId="3328E5DF">
      <w:pPr>
        <w:overflowPunct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.技术出口业务</w:t>
      </w:r>
    </w:p>
    <w:p w14:paraId="3F30A67E">
      <w:pPr>
        <w:widowControl/>
        <w:wordWrap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rPr>
        <w:t>（1）</w:t>
      </w:r>
      <w:r>
        <w:rPr>
          <w:rFonts w:hint="eastAsia" w:ascii="仿宋_GB2312" w:hAnsi="仿宋_GB2312" w:eastAsia="仿宋_GB2312" w:cs="仿宋_GB2312"/>
          <w:sz w:val="32"/>
          <w:szCs w:val="32"/>
          <w:lang w:val="en-US" w:eastAsia="zh-CN"/>
        </w:rPr>
        <w:t>申报单位需按照国家统计法律法规</w:t>
      </w:r>
      <w:r>
        <w:rPr>
          <w:rFonts w:hint="eastAsia" w:ascii="仿宋_GB2312" w:hAnsi="仿宋_GB2312" w:cs="仿宋_GB2312"/>
          <w:sz w:val="32"/>
          <w:szCs w:val="32"/>
          <w:lang w:val="en-US" w:eastAsia="zh-CN"/>
        </w:rPr>
        <w:t>及《技术进出口管理条例》制度要求，</w:t>
      </w:r>
      <w:r>
        <w:rPr>
          <w:rFonts w:hint="eastAsia" w:ascii="仿宋_GB2312" w:hAnsi="仿宋_GB2312" w:eastAsia="仿宋_GB2312" w:cs="仿宋_GB2312"/>
          <w:sz w:val="32"/>
          <w:szCs w:val="32"/>
          <w:lang w:val="en-US" w:eastAsia="zh-CN"/>
        </w:rPr>
        <w:t>及时、全面、真实进行相关业务登记和填报相关统计报表</w:t>
      </w:r>
      <w:r>
        <w:rPr>
          <w:rFonts w:hint="eastAsia" w:ascii="仿宋_GB2312" w:hAnsi="仿宋_GB2312" w:eastAsia="仿宋_GB2312" w:cs="仿宋_GB2312"/>
          <w:sz w:val="32"/>
          <w:szCs w:val="32"/>
          <w:highlight w:val="none"/>
          <w:lang w:val="en-US" w:eastAsia="zh-CN"/>
        </w:rPr>
        <w:t>。</w:t>
      </w:r>
    </w:p>
    <w:p w14:paraId="2512CF56">
      <w:pPr>
        <w:overflowPunct w:val="0"/>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sz w:val="32"/>
          <w:szCs w:val="32"/>
          <w:lang w:eastAsia="zh-CN"/>
        </w:rPr>
        <w:t>（</w:t>
      </w:r>
      <w:r>
        <w:rPr>
          <w:rFonts w:hint="eastAsia" w:ascii="仿宋_GB2312" w:hAnsi="宋体"/>
          <w:sz w:val="32"/>
          <w:szCs w:val="32"/>
          <w:lang w:val="en-US" w:eastAsia="zh-CN"/>
        </w:rPr>
        <w:t>2</w:t>
      </w:r>
      <w:r>
        <w:rPr>
          <w:rFonts w:hint="eastAsia" w:ascii="仿宋_GB2312" w:hAnsi="宋体"/>
          <w:sz w:val="32"/>
          <w:szCs w:val="32"/>
          <w:lang w:eastAsia="zh-CN"/>
        </w:rPr>
        <w:t>）</w:t>
      </w:r>
      <w:r>
        <w:rPr>
          <w:rFonts w:hint="eastAsia" w:ascii="仿宋_GB2312" w:hAnsi="宋体"/>
          <w:sz w:val="32"/>
          <w:szCs w:val="32"/>
          <w:lang w:val="en-US" w:eastAsia="zh-CN"/>
        </w:rPr>
        <w:t>以“</w:t>
      </w:r>
      <w:r>
        <w:rPr>
          <w:rFonts w:hint="eastAsia" w:ascii="仿宋_GB2312" w:hAnsi="宋体" w:eastAsia="仿宋_GB2312"/>
          <w:sz w:val="32"/>
          <w:szCs w:val="32"/>
        </w:rPr>
        <w:t>技术贸易管理信息应用</w:t>
      </w:r>
      <w:r>
        <w:rPr>
          <w:rFonts w:hint="eastAsia" w:ascii="仿宋_GB2312" w:hAnsi="宋体"/>
          <w:sz w:val="32"/>
          <w:szCs w:val="32"/>
          <w:lang w:val="en-US" w:eastAsia="zh-CN"/>
        </w:rPr>
        <w:t>”核准的实际执行额为依据，</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日期间</w:t>
      </w:r>
      <w:r>
        <w:rPr>
          <w:rFonts w:hint="eastAsia" w:ascii="仿宋_GB2312" w:hAnsi="宋体" w:eastAsia="仿宋_GB2312"/>
          <w:sz w:val="32"/>
          <w:szCs w:val="32"/>
        </w:rPr>
        <w:t>的实际</w:t>
      </w:r>
      <w:r>
        <w:rPr>
          <w:rFonts w:hint="eastAsia" w:ascii="仿宋_GB2312" w:hAnsi="宋体"/>
          <w:sz w:val="32"/>
          <w:szCs w:val="32"/>
          <w:lang w:val="en-US" w:eastAsia="zh-CN"/>
        </w:rPr>
        <w:t>技术</w:t>
      </w:r>
      <w:r>
        <w:rPr>
          <w:rFonts w:hint="eastAsia" w:ascii="仿宋_GB2312" w:hAnsi="宋体" w:eastAsia="仿宋_GB2312"/>
          <w:sz w:val="32"/>
          <w:szCs w:val="32"/>
        </w:rPr>
        <w:t>出口额不低于</w:t>
      </w:r>
      <w:r>
        <w:rPr>
          <w:rFonts w:hint="eastAsia" w:ascii="仿宋_GB2312" w:hAnsi="宋体"/>
          <w:sz w:val="32"/>
          <w:szCs w:val="32"/>
          <w:lang w:val="en-US" w:eastAsia="zh-CN"/>
        </w:rPr>
        <w:t>15</w:t>
      </w:r>
      <w:r>
        <w:rPr>
          <w:rFonts w:hint="eastAsia" w:ascii="仿宋_GB2312" w:hAnsi="宋体" w:eastAsia="仿宋_GB2312"/>
          <w:sz w:val="32"/>
          <w:szCs w:val="32"/>
        </w:rPr>
        <w:t>0万美元</w:t>
      </w:r>
      <w:r>
        <w:rPr>
          <w:rFonts w:hint="eastAsia" w:ascii="仿宋_GB2312" w:hAnsi="宋体"/>
          <w:sz w:val="32"/>
          <w:szCs w:val="32"/>
          <w:lang w:eastAsia="zh-CN"/>
        </w:rPr>
        <w:t>。</w:t>
      </w:r>
    </w:p>
    <w:p w14:paraId="5160E588">
      <w:pPr>
        <w:widowControl/>
        <w:overflowPunct w:val="0"/>
        <w:adjustRightInd w:val="0"/>
        <w:snapToGrid w:val="0"/>
        <w:spacing w:line="560" w:lineRule="exact"/>
        <w:ind w:firstLine="643" w:firstLineChars="200"/>
        <w:rPr>
          <w:rFonts w:hint="eastAsia" w:ascii="仿宋_GB2312" w:hAnsi="仿宋_GB2312" w:eastAsia="仿宋_GB2312"/>
          <w:w w:val="100"/>
          <w:sz w:val="32"/>
          <w:szCs w:val="32"/>
          <w:lang w:val="en-US" w:eastAsia="zh-CN"/>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.承接国际服务外包业务</w:t>
      </w:r>
    </w:p>
    <w:p w14:paraId="2B87AD1F">
      <w:pPr>
        <w:widowControl/>
        <w:spacing w:line="560" w:lineRule="exact"/>
        <w:ind w:firstLine="640" w:firstLineChars="200"/>
        <w:rPr>
          <w:rFonts w:hint="eastAsia" w:ascii="仿宋_GB2312" w:hAnsi="仿宋_GB2312"/>
          <w:w w:val="100"/>
          <w:sz w:val="32"/>
          <w:szCs w:val="32"/>
          <w:lang w:val="en-US" w:eastAsia="zh-CN"/>
        </w:rPr>
      </w:pPr>
      <w:r>
        <w:rPr>
          <w:rFonts w:hint="eastAsia" w:ascii="仿宋_GB2312" w:hAnsi="仿宋_GB2312"/>
          <w:w w:val="100"/>
          <w:sz w:val="32"/>
          <w:szCs w:val="32"/>
          <w:lang w:val="en-US" w:eastAsia="zh-CN"/>
        </w:rPr>
        <w:t>（1）</w:t>
      </w:r>
      <w:r>
        <w:rPr>
          <w:rFonts w:hint="eastAsia" w:ascii="仿宋_GB2312" w:hAnsi="仿宋_GB2312" w:eastAsia="仿宋_GB2312" w:cs="仿宋_GB2312"/>
          <w:sz w:val="32"/>
          <w:szCs w:val="32"/>
          <w:lang w:val="en-US" w:eastAsia="zh-CN"/>
        </w:rPr>
        <w:t>申报单位需按照国家统计法律法规及服务外包相关统计制度要求，登陆商务部网站，及时、全面、真实进行相关业务登记和填报相关统计报表</w:t>
      </w:r>
      <w:r>
        <w:rPr>
          <w:rFonts w:hint="eastAsia" w:ascii="仿宋_GB2312" w:hAnsi="仿宋_GB2312" w:cs="仿宋_GB2312"/>
          <w:sz w:val="32"/>
          <w:szCs w:val="32"/>
          <w:highlight w:val="none"/>
          <w:lang w:val="en-US" w:eastAsia="zh-CN"/>
        </w:rPr>
        <w:t>。</w:t>
      </w:r>
    </w:p>
    <w:p w14:paraId="7B08963F">
      <w:pPr>
        <w:widowControl/>
        <w:spacing w:line="560" w:lineRule="exact"/>
        <w:ind w:firstLine="640" w:firstLineChars="200"/>
        <w:rPr>
          <w:rFonts w:ascii="仿宋_GB2312" w:hAnsi="仿宋_GB2312" w:eastAsia="仿宋_GB2312"/>
          <w:w w:val="100"/>
          <w:sz w:val="32"/>
          <w:szCs w:val="32"/>
        </w:rPr>
      </w:pPr>
      <w:r>
        <w:rPr>
          <w:rFonts w:hint="eastAsia" w:ascii="仿宋_GB2312" w:hAnsi="仿宋_GB2312"/>
          <w:w w:val="100"/>
          <w:sz w:val="32"/>
          <w:szCs w:val="32"/>
          <w:lang w:val="en-US" w:eastAsia="zh-CN"/>
        </w:rPr>
        <w:t>（2）</w:t>
      </w:r>
      <w:r>
        <w:rPr>
          <w:rFonts w:hint="eastAsia" w:ascii="仿宋_GB2312" w:hAnsi="仿宋_GB2312" w:eastAsia="仿宋_GB2312"/>
          <w:w w:val="100"/>
          <w:sz w:val="32"/>
          <w:szCs w:val="32"/>
        </w:rPr>
        <w:t>以“服务外包信息管理应用”核准的实际执行额为依据，</w:t>
      </w:r>
      <w:r>
        <w:rPr>
          <w:rFonts w:hint="default" w:ascii="仿宋_GB2312" w:hAnsi="仿宋_GB2312" w:eastAsia="仿宋_GB2312"/>
          <w:w w:val="100"/>
          <w:sz w:val="32"/>
          <w:szCs w:val="32"/>
          <w:lang w:eastAsia="zh-CN"/>
        </w:rPr>
        <w:t>202</w:t>
      </w:r>
      <w:r>
        <w:rPr>
          <w:rFonts w:hint="eastAsia" w:ascii="仿宋_GB2312" w:hAnsi="仿宋_GB2312"/>
          <w:w w:val="100"/>
          <w:sz w:val="32"/>
          <w:szCs w:val="32"/>
          <w:lang w:val="en-US" w:eastAsia="zh-CN"/>
        </w:rPr>
        <w:t>4</w:t>
      </w:r>
      <w:r>
        <w:rPr>
          <w:rFonts w:hint="default" w:ascii="仿宋_GB2312" w:hAnsi="仿宋_GB2312" w:eastAsia="仿宋_GB2312"/>
          <w:w w:val="100"/>
          <w:sz w:val="32"/>
          <w:szCs w:val="32"/>
          <w:lang w:eastAsia="zh-CN"/>
        </w:rPr>
        <w:t>年</w:t>
      </w:r>
      <w:r>
        <w:rPr>
          <w:rFonts w:hint="eastAsia" w:ascii="仿宋_GB2312" w:hAnsi="仿宋_GB2312"/>
          <w:w w:val="100"/>
          <w:sz w:val="32"/>
          <w:szCs w:val="32"/>
          <w:lang w:val="en-US" w:eastAsia="zh-CN"/>
        </w:rPr>
        <w:t>3</w:t>
      </w:r>
      <w:r>
        <w:rPr>
          <w:rFonts w:hint="default" w:ascii="仿宋_GB2312" w:hAnsi="仿宋_GB2312" w:eastAsia="仿宋_GB2312"/>
          <w:w w:val="100"/>
          <w:sz w:val="32"/>
          <w:szCs w:val="32"/>
          <w:lang w:eastAsia="zh-CN"/>
        </w:rPr>
        <w:t>月1日至202</w:t>
      </w:r>
      <w:r>
        <w:rPr>
          <w:rFonts w:hint="eastAsia" w:ascii="仿宋_GB2312" w:hAnsi="仿宋_GB2312"/>
          <w:w w:val="100"/>
          <w:sz w:val="32"/>
          <w:szCs w:val="32"/>
          <w:lang w:val="en-US" w:eastAsia="zh-CN"/>
        </w:rPr>
        <w:t>5</w:t>
      </w:r>
      <w:r>
        <w:rPr>
          <w:rFonts w:hint="default" w:ascii="仿宋_GB2312" w:hAnsi="仿宋_GB2312" w:eastAsia="仿宋_GB2312"/>
          <w:w w:val="100"/>
          <w:sz w:val="32"/>
          <w:szCs w:val="32"/>
          <w:lang w:eastAsia="zh-CN"/>
        </w:rPr>
        <w:t>年2月2</w:t>
      </w:r>
      <w:r>
        <w:rPr>
          <w:rFonts w:hint="eastAsia" w:ascii="仿宋_GB2312" w:hAnsi="仿宋_GB2312"/>
          <w:w w:val="100"/>
          <w:sz w:val="32"/>
          <w:szCs w:val="32"/>
          <w:lang w:val="en-US" w:eastAsia="zh-CN"/>
        </w:rPr>
        <w:t>8</w:t>
      </w:r>
      <w:r>
        <w:rPr>
          <w:rFonts w:hint="default" w:ascii="仿宋_GB2312" w:hAnsi="仿宋_GB2312" w:eastAsia="仿宋_GB2312"/>
          <w:w w:val="100"/>
          <w:sz w:val="32"/>
          <w:szCs w:val="32"/>
          <w:lang w:eastAsia="zh-CN"/>
        </w:rPr>
        <w:t>日</w:t>
      </w:r>
      <w:r>
        <w:rPr>
          <w:rFonts w:hint="eastAsia" w:ascii="仿宋_GB2312" w:hAnsi="仿宋_GB2312" w:eastAsia="仿宋_GB2312"/>
          <w:w w:val="100"/>
          <w:sz w:val="32"/>
          <w:szCs w:val="32"/>
        </w:rPr>
        <w:t>期间的国际服务外包执行额不低于</w:t>
      </w:r>
      <w:r>
        <w:rPr>
          <w:rFonts w:hint="eastAsia" w:ascii="仿宋_GB2312" w:hAnsi="仿宋_GB2312" w:eastAsia="仿宋_GB2312"/>
          <w:w w:val="100"/>
          <w:sz w:val="32"/>
          <w:szCs w:val="32"/>
          <w:highlight w:val="none"/>
        </w:rPr>
        <w:t>1</w:t>
      </w:r>
      <w:r>
        <w:rPr>
          <w:rFonts w:hint="default" w:ascii="仿宋_GB2312" w:hAnsi="仿宋_GB2312"/>
          <w:w w:val="100"/>
          <w:sz w:val="32"/>
          <w:szCs w:val="32"/>
          <w:highlight w:val="none"/>
          <w:lang w:val="en-US" w:eastAsia="zh-CN"/>
        </w:rPr>
        <w:t>5</w:t>
      </w:r>
      <w:r>
        <w:rPr>
          <w:rFonts w:hint="eastAsia" w:ascii="仿宋_GB2312" w:hAnsi="仿宋_GB2312" w:eastAsia="仿宋_GB2312"/>
          <w:w w:val="100"/>
          <w:sz w:val="32"/>
          <w:szCs w:val="32"/>
          <w:highlight w:val="none"/>
        </w:rPr>
        <w:t>0</w:t>
      </w:r>
      <w:r>
        <w:rPr>
          <w:rFonts w:hint="eastAsia" w:ascii="仿宋_GB2312" w:hAnsi="仿宋_GB2312" w:eastAsia="仿宋_GB2312"/>
          <w:w w:val="100"/>
          <w:sz w:val="32"/>
          <w:szCs w:val="32"/>
        </w:rPr>
        <w:t>万美元。</w:t>
      </w:r>
    </w:p>
    <w:p w14:paraId="5BF3338B">
      <w:pPr>
        <w:tabs>
          <w:tab w:val="center" w:pos="4153"/>
        </w:tabs>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14:paraId="3FEE541F">
      <w:pPr>
        <w:overflowPunct w:val="0"/>
        <w:adjustRightInd w:val="0"/>
        <w:snapToGrid w:val="0"/>
        <w:spacing w:line="560" w:lineRule="exact"/>
        <w:ind w:firstLine="640" w:firstLineChars="200"/>
        <w:outlineLvl w:val="9"/>
        <w:rPr>
          <w:rFonts w:hint="eastAsia" w:ascii="仿宋_GB2312" w:hAnsi="仿宋_GB2312" w:eastAsia="仿宋_GB2312" w:cs="Times New Roman"/>
          <w:kern w:val="2"/>
          <w:sz w:val="32"/>
          <w:szCs w:val="32"/>
          <w:u w:val="none"/>
          <w:lang w:eastAsia="zh-CN"/>
        </w:rPr>
      </w:pPr>
      <w:r>
        <w:rPr>
          <w:rFonts w:hint="eastAsia" w:ascii="仿宋_GB2312" w:hAnsi="宋体" w:eastAsia="仿宋_GB2312"/>
          <w:sz w:val="32"/>
          <w:szCs w:val="32"/>
        </w:rPr>
        <w:t>支持内容包括</w:t>
      </w:r>
      <w:r>
        <w:rPr>
          <w:rFonts w:hint="eastAsia" w:ascii="仿宋_GB2312" w:hAnsi="宋体" w:eastAsia="仿宋_GB2312"/>
          <w:spacing w:val="-12"/>
          <w:sz w:val="32"/>
          <w:szCs w:val="32"/>
        </w:rPr>
        <w:t>技术出口业务和</w:t>
      </w:r>
      <w:r>
        <w:rPr>
          <w:rFonts w:hint="eastAsia" w:ascii="仿宋_GB2312" w:hAnsi="宋体"/>
          <w:spacing w:val="-12"/>
          <w:lang w:eastAsia="zh-CN"/>
        </w:rPr>
        <w:t>承接国际服务外包业务</w:t>
      </w:r>
      <w:r>
        <w:rPr>
          <w:rFonts w:hint="eastAsia" w:ascii="仿宋_GB2312" w:hAnsi="宋体" w:eastAsia="仿宋_GB2312"/>
          <w:spacing w:val="-12"/>
          <w:sz w:val="32"/>
          <w:szCs w:val="32"/>
        </w:rPr>
        <w:t>（包括</w:t>
      </w:r>
      <w:r>
        <w:rPr>
          <w:rFonts w:hint="eastAsia" w:ascii="仿宋_GB2312" w:hAnsi="宋体" w:eastAsia="仿宋_GB2312"/>
          <w:sz w:val="32"/>
          <w:szCs w:val="32"/>
        </w:rPr>
        <w:t>取得国际通行的资质认证、离岸服务外包</w:t>
      </w:r>
      <w:r>
        <w:rPr>
          <w:rFonts w:hint="eastAsia" w:ascii="仿宋_GB2312" w:hAnsi="宋体"/>
          <w:sz w:val="32"/>
          <w:szCs w:val="32"/>
          <w:lang w:eastAsia="zh-CN"/>
        </w:rPr>
        <w:t>业务</w:t>
      </w:r>
      <w:r>
        <w:rPr>
          <w:rFonts w:hint="eastAsia" w:ascii="仿宋_GB2312" w:hAnsi="宋体" w:eastAsia="仿宋_GB2312"/>
          <w:sz w:val="32"/>
          <w:szCs w:val="32"/>
        </w:rPr>
        <w:t>）。</w:t>
      </w:r>
    </w:p>
    <w:p w14:paraId="33BA65AD">
      <w:pPr>
        <w:overflowPunct w:val="0"/>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）技术出口业务</w:t>
      </w:r>
      <w:r>
        <w:rPr>
          <w:rFonts w:hint="eastAsia" w:ascii="楷体_GB2312" w:hAnsi="楷体_GB2312" w:eastAsia="楷体_GB2312" w:cs="楷体_GB2312"/>
          <w:sz w:val="32"/>
          <w:szCs w:val="32"/>
          <w:lang w:eastAsia="zh-CN"/>
        </w:rPr>
        <w:t>奖励</w:t>
      </w:r>
    </w:p>
    <w:p w14:paraId="41B4A71C">
      <w:pPr>
        <w:numPr>
          <w:ilvl w:val="255"/>
          <w:numId w:val="0"/>
        </w:numPr>
        <w:overflowPunct w:val="0"/>
        <w:adjustRightInd w:val="0"/>
        <w:snapToGrid w:val="0"/>
        <w:spacing w:line="560" w:lineRule="exact"/>
        <w:ind w:firstLine="640" w:firstLineChars="200"/>
        <w:rPr>
          <w:rFonts w:hint="eastAsia" w:ascii="仿宋_GB2312" w:hAnsi="楷体_GB2312" w:eastAsia="仿宋_GB2312" w:cs="楷体_GB2312"/>
          <w:b/>
          <w:bCs/>
          <w:sz w:val="32"/>
          <w:szCs w:val="32"/>
          <w:highlight w:val="none"/>
          <w:u w:val="none"/>
        </w:rPr>
      </w:pPr>
      <w:r>
        <w:rPr>
          <w:rFonts w:hint="eastAsia" w:ascii="仿宋_GB2312" w:hAnsi="宋体" w:eastAsia="仿宋_GB2312"/>
          <w:sz w:val="32"/>
          <w:szCs w:val="32"/>
          <w:highlight w:val="none"/>
          <w:u w:val="none"/>
        </w:rPr>
        <w:t>对每个符合条件的申请企业</w:t>
      </w:r>
      <w:r>
        <w:rPr>
          <w:rFonts w:hint="eastAsia" w:ascii="仿宋_GB2312" w:hAnsi="宋体"/>
          <w:sz w:val="32"/>
          <w:szCs w:val="32"/>
          <w:highlight w:val="none"/>
          <w:u w:val="none"/>
          <w:lang w:val="en-US" w:eastAsia="zh-CN"/>
        </w:rPr>
        <w:t>技术出口</w:t>
      </w:r>
      <w:r>
        <w:rPr>
          <w:rFonts w:hint="eastAsia" w:ascii="仿宋_GB2312" w:hAnsi="宋体" w:eastAsia="仿宋_GB2312"/>
          <w:sz w:val="32"/>
          <w:szCs w:val="32"/>
          <w:highlight w:val="none"/>
          <w:u w:val="none"/>
        </w:rPr>
        <w:t>资金支持总额不超过</w:t>
      </w:r>
      <w:r>
        <w:rPr>
          <w:rFonts w:hint="eastAsia" w:ascii="仿宋_GB2312" w:hAnsi="宋体"/>
          <w:sz w:val="32"/>
          <w:szCs w:val="32"/>
          <w:highlight w:val="none"/>
          <w:u w:val="none"/>
          <w:lang w:val="en-US" w:eastAsia="zh-CN"/>
        </w:rPr>
        <w:t>100</w:t>
      </w:r>
      <w:r>
        <w:rPr>
          <w:rFonts w:hint="eastAsia" w:ascii="仿宋_GB2312" w:hAnsi="宋体" w:eastAsia="仿宋_GB2312"/>
          <w:sz w:val="32"/>
          <w:szCs w:val="32"/>
          <w:highlight w:val="none"/>
          <w:u w:val="none"/>
        </w:rPr>
        <w:t>万元人民币。</w:t>
      </w:r>
    </w:p>
    <w:p w14:paraId="7D9DBC87">
      <w:pPr>
        <w:numPr>
          <w:ilvl w:val="255"/>
          <w:numId w:val="0"/>
        </w:num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支持扩大除《中国禁止出口限制出口技术目录》（商务部 科技部公告2023年第57号）所列的技术之外的技术出口。</w:t>
      </w:r>
    </w:p>
    <w:p w14:paraId="7C8BEA23">
      <w:pPr>
        <w:overflowPunct w:val="0"/>
        <w:adjustRightInd w:val="0"/>
        <w:snapToGrid w:val="0"/>
        <w:spacing w:line="560" w:lineRule="exact"/>
        <w:ind w:firstLine="643" w:firstLineChars="200"/>
        <w:rPr>
          <w:rFonts w:hint="eastAsia" w:ascii="仿宋_GB2312" w:hAnsi="宋体"/>
          <w:sz w:val="32"/>
          <w:szCs w:val="32"/>
          <w:lang w:val="en-US" w:eastAsia="zh-CN"/>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w:t>
      </w:r>
      <w:r>
        <w:rPr>
          <w:rFonts w:hint="eastAsia" w:ascii="仿宋_GB2312" w:hAnsi="黑体"/>
          <w:sz w:val="32"/>
          <w:szCs w:val="32"/>
          <w:lang w:val="en-US" w:eastAsia="zh-CN"/>
        </w:rPr>
        <w:t>技术出口</w:t>
      </w:r>
      <w:r>
        <w:rPr>
          <w:rFonts w:hint="eastAsia" w:ascii="仿宋_GB2312" w:hAnsi="黑体" w:eastAsia="仿宋_GB2312"/>
          <w:sz w:val="32"/>
          <w:szCs w:val="32"/>
        </w:rPr>
        <w:t>企业</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w:t>
      </w:r>
      <w:r>
        <w:rPr>
          <w:rFonts w:hint="eastAsia" w:ascii="仿宋_GB2312" w:hAnsi="宋体" w:eastAsia="仿宋_GB2312"/>
          <w:sz w:val="32"/>
          <w:szCs w:val="32"/>
        </w:rPr>
        <w:t>期间</w:t>
      </w:r>
      <w:r>
        <w:rPr>
          <w:rFonts w:hint="eastAsia" w:ascii="仿宋_GB2312" w:hAnsi="黑体" w:eastAsia="仿宋_GB2312"/>
          <w:sz w:val="32"/>
          <w:szCs w:val="32"/>
        </w:rPr>
        <w:t>实际发生的</w:t>
      </w:r>
      <w:r>
        <w:rPr>
          <w:rFonts w:hint="eastAsia" w:ascii="仿宋_GB2312" w:hAnsi="黑体"/>
          <w:sz w:val="32"/>
          <w:szCs w:val="32"/>
          <w:lang w:val="en-US" w:eastAsia="zh-CN"/>
        </w:rPr>
        <w:t>技术出口</w:t>
      </w:r>
      <w:r>
        <w:rPr>
          <w:rFonts w:hint="eastAsia" w:ascii="仿宋_GB2312" w:hAnsi="黑体" w:eastAsia="仿宋_GB2312"/>
          <w:sz w:val="32"/>
          <w:szCs w:val="32"/>
        </w:rPr>
        <w:t>业务实际</w:t>
      </w:r>
      <w:r>
        <w:rPr>
          <w:rFonts w:hint="eastAsia" w:ascii="仿宋_GB2312" w:hAnsi="黑体"/>
          <w:sz w:val="32"/>
          <w:szCs w:val="32"/>
          <w:lang w:val="en-US" w:eastAsia="zh-CN"/>
        </w:rPr>
        <w:t>执行额（实际</w:t>
      </w:r>
      <w:r>
        <w:rPr>
          <w:rFonts w:hint="eastAsia" w:ascii="仿宋_GB2312" w:hAnsi="黑体" w:eastAsia="仿宋_GB2312"/>
          <w:sz w:val="32"/>
          <w:szCs w:val="32"/>
        </w:rPr>
        <w:t>收汇金额</w:t>
      </w:r>
      <w:r>
        <w:rPr>
          <w:rFonts w:hint="eastAsia" w:ascii="仿宋_GB2312" w:hAnsi="黑体"/>
          <w:sz w:val="32"/>
          <w:szCs w:val="32"/>
          <w:lang w:val="en-US" w:eastAsia="zh-CN"/>
        </w:rPr>
        <w:t>，统一</w:t>
      </w:r>
      <w:r>
        <w:rPr>
          <w:rFonts w:hint="eastAsia" w:ascii="仿宋_GB2312" w:hAnsi="黑体" w:eastAsia="仿宋_GB2312"/>
          <w:sz w:val="32"/>
          <w:szCs w:val="32"/>
        </w:rPr>
        <w:t>折算为</w:t>
      </w:r>
      <w:r>
        <w:rPr>
          <w:rFonts w:hint="eastAsia" w:ascii="仿宋_GB2312" w:hAnsi="黑体"/>
          <w:sz w:val="32"/>
          <w:szCs w:val="32"/>
          <w:lang w:val="en-US" w:eastAsia="zh-CN"/>
        </w:rPr>
        <w:t>美元</w:t>
      </w:r>
      <w:r>
        <w:rPr>
          <w:rFonts w:hint="eastAsia" w:ascii="仿宋_GB2312" w:hAnsi="黑体"/>
          <w:sz w:val="32"/>
          <w:szCs w:val="32"/>
          <w:lang w:eastAsia="zh-CN"/>
        </w:rPr>
        <w:t>，</w:t>
      </w:r>
      <w:r>
        <w:rPr>
          <w:rFonts w:hint="eastAsia" w:ascii="仿宋_GB2312" w:hAnsi="黑体" w:eastAsia="仿宋_GB2312"/>
          <w:sz w:val="32"/>
          <w:szCs w:val="32"/>
        </w:rPr>
        <w:t>以</w:t>
      </w:r>
      <w:r>
        <w:rPr>
          <w:rFonts w:hint="eastAsia" w:ascii="仿宋_GB2312" w:hAnsi="宋体"/>
          <w:sz w:val="32"/>
          <w:szCs w:val="32"/>
          <w:lang w:val="en-US" w:eastAsia="zh-CN"/>
        </w:rPr>
        <w:t>技术贸易</w:t>
      </w:r>
      <w:r>
        <w:rPr>
          <w:rFonts w:hint="eastAsia" w:ascii="仿宋_GB2312" w:hAnsi="宋体" w:eastAsia="仿宋_GB2312"/>
          <w:sz w:val="32"/>
          <w:szCs w:val="32"/>
        </w:rPr>
        <w:t>信息管理应用系统</w:t>
      </w:r>
      <w:r>
        <w:rPr>
          <w:rFonts w:hint="eastAsia" w:ascii="仿宋_GB2312" w:hAnsi="黑体" w:eastAsia="仿宋_GB2312"/>
          <w:sz w:val="32"/>
          <w:szCs w:val="32"/>
        </w:rPr>
        <w:t>核准的实际</w:t>
      </w:r>
      <w:r>
        <w:rPr>
          <w:rFonts w:hint="eastAsia" w:ascii="仿宋_GB2312" w:hAnsi="黑体"/>
          <w:sz w:val="32"/>
          <w:szCs w:val="32"/>
          <w:lang w:val="en-US" w:eastAsia="zh-CN"/>
        </w:rPr>
        <w:t>执行额（实际</w:t>
      </w:r>
      <w:r>
        <w:rPr>
          <w:rFonts w:hint="eastAsia" w:ascii="仿宋_GB2312" w:hAnsi="黑体" w:eastAsia="仿宋_GB2312"/>
          <w:sz w:val="32"/>
          <w:szCs w:val="32"/>
        </w:rPr>
        <w:t>收汇金额</w:t>
      </w:r>
      <w:r>
        <w:rPr>
          <w:rFonts w:hint="eastAsia" w:ascii="仿宋_GB2312" w:hAnsi="黑体"/>
          <w:sz w:val="32"/>
          <w:szCs w:val="32"/>
          <w:lang w:val="en-US" w:eastAsia="zh-CN"/>
        </w:rPr>
        <w:t>）</w:t>
      </w:r>
      <w:r>
        <w:rPr>
          <w:rFonts w:hint="eastAsia" w:ascii="仿宋_GB2312" w:hAnsi="黑体" w:eastAsia="仿宋_GB2312"/>
          <w:sz w:val="32"/>
          <w:szCs w:val="32"/>
        </w:rPr>
        <w:t>同时有相应收汇凭据提交为准</w:t>
      </w:r>
      <w:r>
        <w:rPr>
          <w:rFonts w:hint="eastAsia" w:ascii="仿宋_GB2312" w:hAnsi="宋体" w:eastAsia="仿宋_GB2312"/>
          <w:sz w:val="32"/>
          <w:szCs w:val="32"/>
        </w:rPr>
        <w:t>）</w:t>
      </w:r>
      <w:r>
        <w:rPr>
          <w:rFonts w:hint="eastAsia" w:ascii="仿宋_GB2312" w:hAnsi="宋体"/>
          <w:sz w:val="32"/>
          <w:szCs w:val="32"/>
          <w:lang w:val="en-US" w:eastAsia="zh-CN"/>
        </w:rPr>
        <w:t>分档予以支持。具体档次及标准见下表：</w:t>
      </w:r>
    </w:p>
    <w:tbl>
      <w:tblPr>
        <w:tblStyle w:val="7"/>
        <w:tblW w:w="6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2535"/>
      </w:tblGrid>
      <w:tr w14:paraId="3EC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14:paraId="14A3DD91">
            <w:pPr>
              <w:widowControl/>
              <w:spacing w:line="400" w:lineRule="exact"/>
              <w:jc w:val="center"/>
              <w:rPr>
                <w:rFonts w:hint="eastAsia" w:ascii="Times New Roman" w:hAnsi="Times New Roman" w:eastAsia="黑体" w:cs="Times New Roman"/>
                <w:kern w:val="0"/>
                <w:sz w:val="24"/>
                <w:szCs w:val="24"/>
                <w:lang w:val="en-US" w:eastAsia="zh-CN"/>
              </w:rPr>
            </w:pPr>
            <w:r>
              <w:rPr>
                <w:rFonts w:hint="eastAsia" w:ascii="Times New Roman" w:hAnsi="Times New Roman" w:eastAsia="黑体"/>
                <w:kern w:val="0"/>
                <w:sz w:val="24"/>
                <w:szCs w:val="24"/>
              </w:rPr>
              <w:t>实际</w:t>
            </w:r>
            <w:r>
              <w:rPr>
                <w:rFonts w:hint="eastAsia" w:ascii="Times New Roman" w:hAnsi="Times New Roman" w:eastAsia="黑体"/>
                <w:kern w:val="0"/>
                <w:sz w:val="24"/>
                <w:szCs w:val="24"/>
                <w:lang w:val="en-US" w:eastAsia="zh-CN"/>
              </w:rPr>
              <w:t>执行额（实际</w:t>
            </w:r>
            <w:r>
              <w:rPr>
                <w:rFonts w:hint="eastAsia" w:ascii="Times New Roman" w:hAnsi="Times New Roman" w:eastAsia="黑体"/>
                <w:kern w:val="0"/>
                <w:sz w:val="24"/>
                <w:szCs w:val="24"/>
              </w:rPr>
              <w:t>收汇金额</w:t>
            </w:r>
            <w:r>
              <w:rPr>
                <w:rFonts w:hint="eastAsia" w:ascii="Times New Roman" w:hAnsi="Times New Roman" w:eastAsia="黑体"/>
                <w:kern w:val="0"/>
                <w:sz w:val="24"/>
                <w:szCs w:val="24"/>
                <w:lang w:val="en-US" w:eastAsia="zh-CN"/>
              </w:rPr>
              <w:t>）</w:t>
            </w:r>
          </w:p>
          <w:p w14:paraId="3C67FD3E">
            <w:pPr>
              <w:widowControl/>
              <w:spacing w:line="4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（万美元）</w:t>
            </w:r>
          </w:p>
        </w:tc>
        <w:tc>
          <w:tcPr>
            <w:tcW w:w="2535" w:type="dxa"/>
            <w:shd w:val="clear" w:color="auto" w:fill="auto"/>
            <w:noWrap w:val="0"/>
            <w:vAlign w:val="center"/>
          </w:tcPr>
          <w:p w14:paraId="7FCAB9C9">
            <w:pPr>
              <w:widowControl/>
              <w:spacing w:line="400" w:lineRule="exact"/>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rPr>
              <w:t>资</w:t>
            </w:r>
            <w:r>
              <w:rPr>
                <w:rFonts w:hint="default" w:ascii="Times New Roman" w:hAnsi="Times New Roman" w:eastAsia="黑体" w:cs="Times New Roman"/>
                <w:kern w:val="0"/>
                <w:sz w:val="24"/>
                <w:szCs w:val="24"/>
              </w:rPr>
              <w:t>助金额（万元）</w:t>
            </w:r>
          </w:p>
        </w:tc>
      </w:tr>
      <w:tr w14:paraId="6070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14:paraId="1C999B2E">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3000</w:t>
            </w:r>
            <w:r>
              <w:rPr>
                <w:rFonts w:hint="eastAsia" w:ascii="宋体" w:hAnsi="宋体" w:eastAsia="宋体" w:cs="宋体"/>
                <w:kern w:val="0"/>
                <w:sz w:val="24"/>
                <w:szCs w:val="24"/>
              </w:rPr>
              <w:t>（含）以上</w:t>
            </w:r>
          </w:p>
        </w:tc>
        <w:tc>
          <w:tcPr>
            <w:tcW w:w="2535" w:type="dxa"/>
            <w:shd w:val="clear" w:color="auto" w:fill="auto"/>
            <w:noWrap w:val="0"/>
            <w:vAlign w:val="center"/>
          </w:tcPr>
          <w:p w14:paraId="7C1FF8C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100</w:t>
            </w:r>
          </w:p>
        </w:tc>
      </w:tr>
      <w:tr w14:paraId="3CE8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7" w:type="dxa"/>
            <w:noWrap w:val="0"/>
            <w:vAlign w:val="center"/>
          </w:tcPr>
          <w:p w14:paraId="069ABE4A">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w:t>
            </w:r>
          </w:p>
        </w:tc>
        <w:tc>
          <w:tcPr>
            <w:tcW w:w="2535" w:type="dxa"/>
            <w:shd w:val="clear" w:color="auto" w:fill="auto"/>
            <w:noWrap w:val="0"/>
            <w:vAlign w:val="center"/>
          </w:tcPr>
          <w:p w14:paraId="12639B5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w:t>
            </w:r>
          </w:p>
        </w:tc>
      </w:tr>
      <w:tr w14:paraId="033C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14:paraId="1A2E4283">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00（含）-</w:t>
            </w:r>
            <w:r>
              <w:rPr>
                <w:rFonts w:hint="eastAsia" w:ascii="宋体" w:hAnsi="宋体" w:eastAsia="宋体" w:cs="宋体"/>
                <w:kern w:val="0"/>
                <w:sz w:val="24"/>
                <w:szCs w:val="24"/>
                <w:lang w:val="en-US" w:eastAsia="zh-CN"/>
              </w:rPr>
              <w:t>1000</w:t>
            </w:r>
          </w:p>
        </w:tc>
        <w:tc>
          <w:tcPr>
            <w:tcW w:w="2535" w:type="dxa"/>
            <w:shd w:val="clear" w:color="auto" w:fill="auto"/>
            <w:noWrap w:val="0"/>
            <w:vAlign w:val="center"/>
          </w:tcPr>
          <w:p w14:paraId="77396AF2">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w:t>
            </w:r>
          </w:p>
        </w:tc>
      </w:tr>
      <w:tr w14:paraId="063D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14:paraId="7A4E302B">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0（含）-</w:t>
            </w:r>
            <w:r>
              <w:rPr>
                <w:rFonts w:hint="eastAsia" w:ascii="宋体" w:hAnsi="宋体" w:eastAsia="宋体" w:cs="宋体"/>
                <w:kern w:val="0"/>
                <w:sz w:val="24"/>
                <w:szCs w:val="24"/>
                <w:lang w:val="en-US" w:eastAsia="zh-CN"/>
              </w:rPr>
              <w:t>500</w:t>
            </w:r>
          </w:p>
        </w:tc>
        <w:tc>
          <w:tcPr>
            <w:tcW w:w="2535" w:type="dxa"/>
            <w:shd w:val="clear" w:color="auto" w:fill="auto"/>
            <w:noWrap w:val="0"/>
            <w:vAlign w:val="center"/>
          </w:tcPr>
          <w:p w14:paraId="5026618E">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14:paraId="656D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07" w:type="dxa"/>
            <w:noWrap w:val="0"/>
            <w:vAlign w:val="center"/>
          </w:tcPr>
          <w:p w14:paraId="6251A424">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50（含）-</w:t>
            </w:r>
            <w:r>
              <w:rPr>
                <w:rFonts w:hint="eastAsia" w:ascii="宋体" w:hAnsi="宋体" w:eastAsia="宋体" w:cs="宋体"/>
                <w:kern w:val="0"/>
                <w:sz w:val="24"/>
                <w:szCs w:val="24"/>
                <w:lang w:val="en-US" w:eastAsia="zh-CN"/>
              </w:rPr>
              <w:t>300</w:t>
            </w:r>
          </w:p>
        </w:tc>
        <w:tc>
          <w:tcPr>
            <w:tcW w:w="2535" w:type="dxa"/>
            <w:shd w:val="clear" w:color="auto" w:fill="auto"/>
            <w:noWrap w:val="0"/>
            <w:vAlign w:val="center"/>
          </w:tcPr>
          <w:p w14:paraId="2A6720C4">
            <w:pPr>
              <w:widowControl/>
              <w:spacing w:line="4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w:t>
            </w:r>
          </w:p>
        </w:tc>
      </w:tr>
    </w:tbl>
    <w:p w14:paraId="0FEDE089">
      <w:pPr>
        <w:overflowPunct w:val="0"/>
        <w:adjustRightInd w:val="0"/>
        <w:snapToGrid w:val="0"/>
        <w:spacing w:line="56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备注：申请技术出口业务资金支持的，不得重复申请离岸服务外包</w:t>
      </w:r>
      <w:r>
        <w:rPr>
          <w:rFonts w:hint="eastAsia" w:ascii="仿宋_GB2312" w:hAnsi="宋体"/>
          <w:b w:val="0"/>
          <w:bCs/>
          <w:sz w:val="32"/>
          <w:szCs w:val="32"/>
          <w:lang w:val="en-US" w:eastAsia="zh-CN"/>
        </w:rPr>
        <w:t>业务</w:t>
      </w:r>
      <w:r>
        <w:rPr>
          <w:rFonts w:hint="eastAsia" w:ascii="仿宋_GB2312" w:hAnsi="宋体" w:eastAsia="仿宋_GB2312"/>
          <w:b w:val="0"/>
          <w:bCs/>
          <w:sz w:val="32"/>
          <w:szCs w:val="32"/>
        </w:rPr>
        <w:t>支持。</w:t>
      </w:r>
    </w:p>
    <w:p w14:paraId="0C89C2AD">
      <w:pPr>
        <w:overflowPunct w:val="0"/>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承接国际服务外包业务奖励</w:t>
      </w:r>
    </w:p>
    <w:p w14:paraId="122BC4C9">
      <w:pPr>
        <w:overflowPunct w:val="0"/>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对每个符合条件的申请企业国际通行的资质认证资金支持总额不超过50万元人民币;对每个符合条件的申请企业离岸服务外包</w:t>
      </w:r>
      <w:r>
        <w:rPr>
          <w:rFonts w:hint="eastAsia" w:ascii="仿宋_GB2312" w:hAnsi="宋体"/>
          <w:sz w:val="32"/>
          <w:szCs w:val="32"/>
          <w:lang w:val="en-US" w:eastAsia="zh-CN"/>
        </w:rPr>
        <w:t>业务</w:t>
      </w:r>
      <w:r>
        <w:rPr>
          <w:rFonts w:hint="eastAsia" w:ascii="仿宋_GB2312" w:hAnsi="宋体" w:eastAsia="仿宋_GB2312"/>
          <w:sz w:val="32"/>
          <w:szCs w:val="32"/>
        </w:rPr>
        <w:t>资金支持总额不超过</w:t>
      </w:r>
      <w:r>
        <w:rPr>
          <w:rFonts w:hint="eastAsia" w:ascii="仿宋_GB2312" w:hAnsi="宋体"/>
          <w:sz w:val="32"/>
          <w:szCs w:val="32"/>
          <w:lang w:val="en-US" w:eastAsia="zh-CN"/>
        </w:rPr>
        <w:t>100</w:t>
      </w:r>
      <w:r>
        <w:rPr>
          <w:rFonts w:hint="eastAsia" w:ascii="仿宋_GB2312" w:hAnsi="宋体" w:eastAsia="仿宋_GB2312"/>
          <w:sz w:val="32"/>
          <w:szCs w:val="32"/>
        </w:rPr>
        <w:t>万元人民币。以上两个支持方向对每个符合条件的申请企业资金支持累计不超过1</w:t>
      </w:r>
      <w:r>
        <w:rPr>
          <w:rFonts w:hint="eastAsia" w:ascii="仿宋_GB2312" w:hAnsi="宋体"/>
          <w:sz w:val="32"/>
          <w:szCs w:val="32"/>
          <w:lang w:val="en-US" w:eastAsia="zh-CN"/>
        </w:rPr>
        <w:t>5</w:t>
      </w:r>
      <w:r>
        <w:rPr>
          <w:rFonts w:hint="eastAsia" w:ascii="仿宋_GB2312" w:hAnsi="宋体" w:eastAsia="仿宋_GB2312"/>
          <w:sz w:val="32"/>
          <w:szCs w:val="32"/>
        </w:rPr>
        <w:t>0万元</w:t>
      </w:r>
      <w:r>
        <w:rPr>
          <w:rFonts w:hint="eastAsia" w:ascii="仿宋_GB2312" w:hAnsi="宋体"/>
          <w:sz w:val="32"/>
          <w:szCs w:val="32"/>
          <w:lang w:eastAsia="zh-CN"/>
        </w:rPr>
        <w:t>人民币</w:t>
      </w:r>
      <w:r>
        <w:rPr>
          <w:rFonts w:hint="eastAsia" w:ascii="仿宋_GB2312" w:hAnsi="宋体" w:eastAsia="仿宋_GB2312"/>
          <w:sz w:val="32"/>
          <w:szCs w:val="32"/>
        </w:rPr>
        <w:t>。</w:t>
      </w:r>
    </w:p>
    <w:p w14:paraId="71365AEE">
      <w:pPr>
        <w:overflowPunct w:val="0"/>
        <w:adjustRightInd w:val="0"/>
        <w:snapToGrid w:val="0"/>
        <w:spacing w:line="560" w:lineRule="exact"/>
        <w:ind w:firstLine="595" w:firstLineChars="200"/>
        <w:rPr>
          <w:rFonts w:ascii="仿宋_GB2312" w:hAnsi="宋体" w:eastAsia="仿宋_GB2312"/>
          <w:b/>
          <w:spacing w:val="-12"/>
          <w:sz w:val="32"/>
          <w:szCs w:val="32"/>
        </w:rPr>
      </w:pPr>
      <w:r>
        <w:rPr>
          <w:rFonts w:hint="eastAsia" w:ascii="仿宋_GB2312" w:hAnsi="宋体" w:eastAsia="仿宋_GB2312"/>
          <w:b/>
          <w:spacing w:val="-12"/>
          <w:sz w:val="32"/>
          <w:szCs w:val="32"/>
        </w:rPr>
        <w:t>1.取得国际通行的资质认证</w:t>
      </w:r>
    </w:p>
    <w:p w14:paraId="3D20298D">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支持服务外包企业取得国际通行的资质认证，对国际资质认定费用给予支持。</w:t>
      </w:r>
    </w:p>
    <w:p w14:paraId="6A75DA46">
      <w:pPr>
        <w:wordWrap w:val="0"/>
        <w:overflowPunct w:val="0"/>
        <w:adjustRightInd w:val="0"/>
        <w:snapToGrid w:val="0"/>
        <w:spacing w:line="560" w:lineRule="exact"/>
        <w:ind w:firstLine="643"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对服务外包企业在</w:t>
      </w:r>
      <w:r>
        <w:rPr>
          <w:rFonts w:hint="default" w:ascii="仿宋_GB2312" w:eastAsia="仿宋_GB2312"/>
          <w:sz w:val="32"/>
          <w:lang w:eastAsia="zh-CN"/>
        </w:rPr>
        <w:t>202</w:t>
      </w:r>
      <w:r>
        <w:rPr>
          <w:rFonts w:hint="eastAsia" w:ascii="仿宋_GB2312"/>
          <w:sz w:val="32"/>
          <w:lang w:val="en-US" w:eastAsia="zh-CN"/>
        </w:rPr>
        <w:t>4</w:t>
      </w:r>
      <w:r>
        <w:rPr>
          <w:rFonts w:hint="default" w:ascii="仿宋_GB2312" w:eastAsia="仿宋_GB2312"/>
          <w:sz w:val="32"/>
          <w:lang w:eastAsia="zh-CN"/>
        </w:rPr>
        <w:t>年</w:t>
      </w:r>
      <w:r>
        <w:rPr>
          <w:rFonts w:hint="eastAsia" w:ascii="仿宋_GB2312"/>
          <w:sz w:val="32"/>
          <w:lang w:val="en-US" w:eastAsia="zh-CN"/>
        </w:rPr>
        <w:t>3</w:t>
      </w:r>
      <w:r>
        <w:rPr>
          <w:rFonts w:hint="default" w:ascii="仿宋_GB2312" w:eastAsia="仿宋_GB2312"/>
          <w:sz w:val="32"/>
          <w:lang w:eastAsia="zh-CN"/>
        </w:rPr>
        <w:t>月1日至202</w:t>
      </w:r>
      <w:r>
        <w:rPr>
          <w:rFonts w:hint="eastAsia" w:ascii="仿宋_GB2312"/>
          <w:sz w:val="32"/>
          <w:lang w:val="en-US" w:eastAsia="zh-CN"/>
        </w:rPr>
        <w:t>5</w:t>
      </w:r>
      <w:r>
        <w:rPr>
          <w:rFonts w:hint="default" w:ascii="仿宋_GB2312" w:eastAsia="仿宋_GB2312"/>
          <w:sz w:val="32"/>
          <w:lang w:eastAsia="zh-CN"/>
        </w:rPr>
        <w:t>年2月2</w:t>
      </w:r>
      <w:r>
        <w:rPr>
          <w:rFonts w:hint="eastAsia" w:ascii="仿宋_GB2312"/>
          <w:sz w:val="32"/>
          <w:lang w:val="en-US" w:eastAsia="zh-CN"/>
        </w:rPr>
        <w:t>8</w:t>
      </w:r>
      <w:r>
        <w:rPr>
          <w:rFonts w:hint="default" w:ascii="仿宋_GB2312" w:eastAsia="仿宋_GB2312"/>
          <w:sz w:val="32"/>
          <w:lang w:eastAsia="zh-CN"/>
        </w:rPr>
        <w:t>日</w:t>
      </w:r>
      <w:r>
        <w:rPr>
          <w:rFonts w:hint="eastAsia" w:ascii="仿宋_GB2312" w:hAnsi="宋体" w:eastAsia="仿宋_GB2312"/>
          <w:sz w:val="32"/>
          <w:szCs w:val="32"/>
        </w:rPr>
        <w:t>期间内取得的软件能力成熟度模型（CMM/CMMI）、人力资本成熟度模型（PCMM）、信息安全管理（ISO27001／BS7799）、IT服务管理（ISO20000）、服务机构控制体系（SOC1）及质量管理标准（ISO9001）、国际实验动物评估和认可委员会认证（AAALAC）、药物非临床研究质量管理规范（GLP）、信息技术基础架构库（ITIL）、客户服务提供商标准（COPC）、环球同业银行金融电讯协会结算系统（SWIFT）、业务连续性管理标准（ISO22301）、环境管理体系（ISO14001）、能源管理体系（ISO50001）、职业健康安全管理体系</w:t>
      </w:r>
      <w:r>
        <w:rPr>
          <w:rFonts w:hint="eastAsia" w:ascii="仿宋_GB2312" w:hAnsi="宋体" w:eastAsia="仿宋_GB2312"/>
          <w:sz w:val="32"/>
          <w:szCs w:val="32"/>
          <w:highlight w:val="none"/>
        </w:rPr>
        <w:t>（</w:t>
      </w:r>
      <w:r>
        <w:rPr>
          <w:rFonts w:hint="default" w:ascii="仿宋_GB2312" w:hAnsi="宋体"/>
          <w:sz w:val="32"/>
          <w:szCs w:val="32"/>
          <w:highlight w:val="none"/>
        </w:rPr>
        <w:t>OHSAS18001、</w:t>
      </w:r>
      <w:r>
        <w:rPr>
          <w:rFonts w:hint="eastAsia" w:ascii="仿宋_GB2312" w:hAnsi="宋体" w:eastAsia="仿宋_GB2312"/>
          <w:sz w:val="32"/>
          <w:szCs w:val="32"/>
          <w:highlight w:val="none"/>
          <w:lang w:val="en-US" w:eastAsia="zh-CN"/>
        </w:rPr>
        <w:t>ISO45001</w:t>
      </w:r>
      <w:r>
        <w:rPr>
          <w:rFonts w:hint="eastAsia" w:ascii="仿宋_GB2312" w:hAnsi="宋体" w:eastAsia="仿宋_GB2312"/>
          <w:sz w:val="32"/>
          <w:szCs w:val="32"/>
          <w:highlight w:val="none"/>
        </w:rPr>
        <w:t>）</w:t>
      </w:r>
      <w:r>
        <w:rPr>
          <w:rFonts w:hint="eastAsia" w:ascii="仿宋_GB2312" w:hAnsi="宋体" w:eastAsia="仿宋_GB2312"/>
          <w:sz w:val="32"/>
          <w:szCs w:val="32"/>
        </w:rPr>
        <w:t>、客户中心能力成熟度模型（CC-CMM）、支付卡行业数据安全标准（PCI</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DSS）、实验室管理标准（ISO17025）、信息技术服务标准（ITSS）、汽车电子功能安全标准（ISO26262）等国际通行的资质认证及认证的系列维护、升级费用</w:t>
      </w:r>
      <w:r>
        <w:rPr>
          <w:rFonts w:hint="eastAsia" w:ascii="仿宋_GB2312" w:hAnsi="宋体"/>
          <w:sz w:val="32"/>
          <w:szCs w:val="32"/>
          <w:lang w:eastAsia="zh-CN"/>
        </w:rPr>
        <w:t>。</w:t>
      </w:r>
      <w:r>
        <w:rPr>
          <w:rFonts w:hint="eastAsia" w:ascii="仿宋_GB2312" w:hAnsi="宋体" w:eastAsia="仿宋_GB2312"/>
          <w:sz w:val="32"/>
          <w:szCs w:val="32"/>
        </w:rPr>
        <w:t>对每个符合条件的申请企业给予不超过实际</w:t>
      </w:r>
      <w:r>
        <w:rPr>
          <w:rFonts w:hint="eastAsia" w:ascii="仿宋_GB2312" w:hAnsi="宋体"/>
          <w:sz w:val="32"/>
          <w:szCs w:val="32"/>
          <w:lang w:val="en-US" w:eastAsia="zh-CN"/>
        </w:rPr>
        <w:t>费用</w:t>
      </w:r>
      <w:r>
        <w:rPr>
          <w:rFonts w:hint="eastAsia" w:ascii="仿宋_GB2312" w:hAnsi="宋体" w:eastAsia="仿宋_GB2312"/>
          <w:sz w:val="32"/>
          <w:szCs w:val="32"/>
        </w:rPr>
        <w:t>发生额50%、总额不超过50万元人民币的支持。</w:t>
      </w:r>
    </w:p>
    <w:p w14:paraId="602C23A5">
      <w:pPr>
        <w:overflowPunct w:val="0"/>
        <w:adjustRightInd w:val="0"/>
        <w:snapToGrid w:val="0"/>
        <w:spacing w:line="56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2.离岸服务外包</w:t>
      </w:r>
      <w:r>
        <w:rPr>
          <w:rFonts w:hint="eastAsia" w:ascii="仿宋_GB2312" w:hAnsi="宋体"/>
          <w:b/>
          <w:sz w:val="32"/>
          <w:szCs w:val="32"/>
          <w:highlight w:val="none"/>
          <w:lang w:val="en-US" w:eastAsia="zh-CN"/>
        </w:rPr>
        <w:t>业务</w:t>
      </w:r>
    </w:p>
    <w:p w14:paraId="74B107B4">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鼓励服务外包企业加快发展国际服务外包业务，对服务外包企业实际取得的离岸服务外包收入给予</w:t>
      </w:r>
      <w:r>
        <w:rPr>
          <w:rFonts w:hint="eastAsia" w:ascii="仿宋_GB2312" w:hAnsi="楷体_GB2312" w:cs="楷体_GB2312"/>
          <w:sz w:val="32"/>
          <w:szCs w:val="32"/>
          <w:lang w:eastAsia="zh-CN"/>
        </w:rPr>
        <w:t>奖励</w:t>
      </w:r>
      <w:r>
        <w:rPr>
          <w:rFonts w:hint="eastAsia" w:ascii="仿宋_GB2312" w:hAnsi="楷体_GB2312" w:eastAsia="仿宋_GB2312" w:cs="楷体_GB2312"/>
          <w:sz w:val="32"/>
          <w:szCs w:val="32"/>
        </w:rPr>
        <w:t>支持。</w:t>
      </w:r>
    </w:p>
    <w:p w14:paraId="1FA5BB9F">
      <w:pPr>
        <w:overflowPunct w:val="0"/>
        <w:adjustRightInd w:val="0"/>
        <w:snapToGrid w:val="0"/>
        <w:spacing w:line="560" w:lineRule="exact"/>
        <w:ind w:firstLine="643" w:firstLineChars="200"/>
        <w:rPr>
          <w:rFonts w:hint="eastAsia" w:ascii="仿宋_GB2312" w:hAnsi="宋体"/>
          <w:sz w:val="32"/>
          <w:szCs w:val="32"/>
          <w:lang w:val="en-US" w:eastAsia="zh-CN"/>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对服务外包企业</w:t>
      </w:r>
      <w:r>
        <w:rPr>
          <w:rFonts w:hint="eastAsia" w:ascii="仿宋_GB2312" w:eastAsia="仿宋_GB2312"/>
          <w:sz w:val="32"/>
        </w:rPr>
        <w:t>202</w:t>
      </w:r>
      <w:r>
        <w:rPr>
          <w:rFonts w:hint="eastAsia" w:ascii="仿宋_GB2312"/>
          <w:sz w:val="32"/>
          <w:lang w:val="en-US" w:eastAsia="zh-CN"/>
        </w:rPr>
        <w:t>4</w:t>
      </w:r>
      <w:r>
        <w:rPr>
          <w:rFonts w:hint="eastAsia" w:ascii="仿宋_GB2312" w:eastAsia="仿宋_GB2312"/>
          <w:sz w:val="32"/>
        </w:rPr>
        <w:t>年</w:t>
      </w:r>
      <w:r>
        <w:rPr>
          <w:rFonts w:hint="eastAsia" w:ascii="仿宋_GB2312"/>
          <w:sz w:val="32"/>
          <w:lang w:val="en-US" w:eastAsia="zh-CN"/>
        </w:rPr>
        <w:t>3</w:t>
      </w:r>
      <w:r>
        <w:rPr>
          <w:rFonts w:hint="eastAsia" w:ascii="仿宋_GB2312" w:eastAsia="仿宋_GB2312"/>
          <w:sz w:val="32"/>
        </w:rPr>
        <w:t>月1日至202</w:t>
      </w:r>
      <w:r>
        <w:rPr>
          <w:rFonts w:hint="eastAsia" w:ascii="仿宋_GB2312"/>
          <w:sz w:val="32"/>
          <w:lang w:val="en-US" w:eastAsia="zh-CN"/>
        </w:rPr>
        <w:t>5</w:t>
      </w:r>
      <w:r>
        <w:rPr>
          <w:rFonts w:hint="eastAsia" w:ascii="仿宋_GB2312" w:eastAsia="仿宋_GB2312"/>
          <w:sz w:val="32"/>
        </w:rPr>
        <w:t>年</w:t>
      </w:r>
      <w:r>
        <w:rPr>
          <w:rFonts w:hint="eastAsia" w:ascii="仿宋_GB2312"/>
          <w:sz w:val="32"/>
          <w:lang w:val="en-US" w:eastAsia="zh-CN"/>
        </w:rPr>
        <w:t>2</w:t>
      </w:r>
      <w:r>
        <w:rPr>
          <w:rFonts w:hint="eastAsia" w:ascii="仿宋_GB2312" w:eastAsia="仿宋_GB2312"/>
          <w:sz w:val="32"/>
        </w:rPr>
        <w:t>月</w:t>
      </w:r>
      <w:r>
        <w:rPr>
          <w:rFonts w:hint="eastAsia" w:ascii="仿宋_GB2312"/>
          <w:sz w:val="32"/>
          <w:lang w:val="en-US" w:eastAsia="zh-CN"/>
        </w:rPr>
        <w:t>28</w:t>
      </w:r>
      <w:r>
        <w:rPr>
          <w:rFonts w:hint="eastAsia" w:ascii="仿宋_GB2312" w:eastAsia="仿宋_GB2312"/>
          <w:sz w:val="32"/>
        </w:rPr>
        <w:t>日</w:t>
      </w:r>
      <w:r>
        <w:rPr>
          <w:rFonts w:hint="eastAsia" w:ascii="仿宋_GB2312" w:hAnsi="宋体" w:eastAsia="仿宋_GB2312"/>
          <w:sz w:val="32"/>
          <w:szCs w:val="32"/>
        </w:rPr>
        <w:t>期间</w:t>
      </w:r>
      <w:r>
        <w:rPr>
          <w:rFonts w:hint="eastAsia" w:ascii="仿宋_GB2312" w:hAnsi="黑体" w:eastAsia="仿宋_GB2312"/>
          <w:sz w:val="32"/>
          <w:szCs w:val="32"/>
        </w:rPr>
        <w:t>实际发生的离岸服务外包业务实际</w:t>
      </w:r>
      <w:r>
        <w:rPr>
          <w:rFonts w:hint="eastAsia" w:ascii="仿宋_GB2312" w:hAnsi="黑体"/>
          <w:sz w:val="32"/>
          <w:szCs w:val="32"/>
          <w:lang w:val="en-US" w:eastAsia="zh-CN"/>
        </w:rPr>
        <w:t>执行额（实际收汇金额，统一</w:t>
      </w:r>
      <w:r>
        <w:rPr>
          <w:rFonts w:hint="eastAsia" w:ascii="仿宋_GB2312" w:hAnsi="黑体" w:eastAsia="仿宋_GB2312"/>
          <w:sz w:val="32"/>
          <w:szCs w:val="32"/>
        </w:rPr>
        <w:t>折算为</w:t>
      </w:r>
      <w:r>
        <w:rPr>
          <w:rFonts w:hint="eastAsia" w:ascii="仿宋_GB2312" w:hAnsi="黑体"/>
          <w:sz w:val="32"/>
          <w:szCs w:val="32"/>
          <w:lang w:val="en-US" w:eastAsia="zh-CN"/>
        </w:rPr>
        <w:t>美元</w:t>
      </w:r>
      <w:r>
        <w:rPr>
          <w:rFonts w:hint="eastAsia" w:ascii="仿宋_GB2312" w:hAnsi="黑体"/>
          <w:sz w:val="32"/>
          <w:szCs w:val="32"/>
          <w:lang w:eastAsia="zh-CN"/>
        </w:rPr>
        <w:t>，</w:t>
      </w:r>
      <w:r>
        <w:rPr>
          <w:rFonts w:hint="eastAsia" w:ascii="仿宋_GB2312" w:hAnsi="黑体" w:eastAsia="仿宋_GB2312"/>
          <w:sz w:val="32"/>
          <w:szCs w:val="32"/>
        </w:rPr>
        <w:t>以</w:t>
      </w:r>
      <w:r>
        <w:rPr>
          <w:rFonts w:hint="eastAsia" w:ascii="仿宋_GB2312" w:hAnsi="宋体" w:eastAsia="仿宋_GB2312"/>
          <w:sz w:val="32"/>
          <w:szCs w:val="32"/>
        </w:rPr>
        <w:t>服务外包信息管理应用系统</w:t>
      </w:r>
      <w:r>
        <w:rPr>
          <w:rFonts w:hint="eastAsia" w:ascii="仿宋_GB2312" w:hAnsi="黑体" w:eastAsia="仿宋_GB2312"/>
          <w:sz w:val="32"/>
          <w:szCs w:val="32"/>
        </w:rPr>
        <w:t>核准的离岸执行额同时有相应收汇凭据提交为准</w:t>
      </w:r>
      <w:r>
        <w:rPr>
          <w:rFonts w:hint="eastAsia" w:ascii="仿宋_GB2312" w:hAnsi="宋体" w:eastAsia="仿宋_GB2312"/>
          <w:sz w:val="32"/>
          <w:szCs w:val="32"/>
        </w:rPr>
        <w:t>）</w:t>
      </w:r>
      <w:r>
        <w:rPr>
          <w:rFonts w:hint="eastAsia" w:ascii="仿宋_GB2312" w:hAnsi="宋体"/>
          <w:sz w:val="32"/>
          <w:szCs w:val="32"/>
          <w:lang w:val="en-US" w:eastAsia="zh-CN"/>
        </w:rPr>
        <w:t>分档予以支持。具体档次及标准见下表：</w:t>
      </w:r>
    </w:p>
    <w:tbl>
      <w:tblPr>
        <w:tblStyle w:val="7"/>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6"/>
        <w:gridCol w:w="2877"/>
      </w:tblGrid>
      <w:tr w14:paraId="4C49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64ED9576">
            <w:pPr>
              <w:widowControl/>
              <w:spacing w:line="400" w:lineRule="exact"/>
              <w:jc w:val="center"/>
              <w:rPr>
                <w:rFonts w:hint="eastAsia" w:eastAsia="黑体"/>
                <w:kern w:val="0"/>
                <w:sz w:val="24"/>
                <w:szCs w:val="24"/>
              </w:rPr>
            </w:pPr>
            <w:r>
              <w:rPr>
                <w:rFonts w:hint="eastAsia" w:eastAsia="黑体"/>
                <w:kern w:val="0"/>
                <w:sz w:val="24"/>
                <w:szCs w:val="24"/>
              </w:rPr>
              <w:t>实际执行额（实际收汇金额）</w:t>
            </w:r>
          </w:p>
          <w:p w14:paraId="1AA530AF">
            <w:pPr>
              <w:pStyle w:val="6"/>
              <w:ind w:firstLine="0" w:firstLineChars="0"/>
              <w:jc w:val="center"/>
              <w:rPr>
                <w:rFonts w:hint="default"/>
              </w:rPr>
            </w:pPr>
            <w:r>
              <w:rPr>
                <w:rFonts w:hint="default" w:ascii="Times New Roman" w:hAnsi="Times New Roman" w:eastAsia="黑体" w:cs="Times New Roman"/>
                <w:kern w:val="0"/>
                <w:sz w:val="24"/>
                <w:szCs w:val="24"/>
              </w:rPr>
              <w:t>（万</w:t>
            </w:r>
            <w:r>
              <w:rPr>
                <w:rFonts w:hint="eastAsia" w:ascii="Times New Roman" w:hAnsi="Times New Roman" w:eastAsia="黑体" w:cs="Times New Roman"/>
                <w:kern w:val="0"/>
                <w:sz w:val="24"/>
                <w:szCs w:val="24"/>
                <w:lang w:val="en-US" w:eastAsia="zh-CN"/>
              </w:rPr>
              <w:t>美</w:t>
            </w:r>
            <w:r>
              <w:rPr>
                <w:rFonts w:hint="default" w:ascii="Times New Roman" w:hAnsi="Times New Roman" w:eastAsia="黑体" w:cs="Times New Roman"/>
                <w:kern w:val="0"/>
                <w:sz w:val="24"/>
                <w:szCs w:val="24"/>
              </w:rPr>
              <w:t>元）</w:t>
            </w:r>
          </w:p>
        </w:tc>
        <w:tc>
          <w:tcPr>
            <w:tcW w:w="2877" w:type="dxa"/>
            <w:shd w:val="clear" w:color="auto" w:fill="auto"/>
            <w:noWrap w:val="0"/>
            <w:vAlign w:val="center"/>
          </w:tcPr>
          <w:p w14:paraId="2E6BE0EA">
            <w:pPr>
              <w:widowControl/>
              <w:spacing w:line="400" w:lineRule="exact"/>
              <w:jc w:val="center"/>
              <w:rPr>
                <w:rFonts w:hint="default" w:ascii="Times New Roman" w:hAnsi="Times New Roman" w:eastAsia="黑体" w:cs="Times New Roman"/>
                <w:kern w:val="0"/>
                <w:sz w:val="24"/>
                <w:szCs w:val="24"/>
                <w:lang w:val="en-US" w:eastAsia="zh-CN" w:bidi="ar-SA"/>
              </w:rPr>
            </w:pPr>
            <w:r>
              <w:rPr>
                <w:rFonts w:hint="eastAsia" w:eastAsia="黑体" w:cs="Times New Roman"/>
                <w:kern w:val="0"/>
                <w:sz w:val="24"/>
                <w:szCs w:val="24"/>
                <w:lang w:val="en-US" w:eastAsia="zh-CN"/>
              </w:rPr>
              <w:t>资</w:t>
            </w:r>
            <w:r>
              <w:rPr>
                <w:rFonts w:hint="default" w:ascii="Times New Roman" w:hAnsi="Times New Roman" w:eastAsia="黑体" w:cs="Times New Roman"/>
                <w:kern w:val="0"/>
                <w:sz w:val="24"/>
                <w:szCs w:val="24"/>
              </w:rPr>
              <w:t>助金额（万元）</w:t>
            </w:r>
          </w:p>
        </w:tc>
      </w:tr>
      <w:tr w14:paraId="2C4B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3F736EE4">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5000</w:t>
            </w:r>
            <w:r>
              <w:rPr>
                <w:rFonts w:hint="eastAsia" w:ascii="宋体" w:hAnsi="宋体" w:eastAsia="宋体" w:cs="宋体"/>
                <w:kern w:val="0"/>
                <w:sz w:val="24"/>
                <w:szCs w:val="24"/>
              </w:rPr>
              <w:t>（含）以上</w:t>
            </w:r>
          </w:p>
        </w:tc>
        <w:tc>
          <w:tcPr>
            <w:tcW w:w="2877" w:type="dxa"/>
            <w:shd w:val="clear" w:color="auto" w:fill="auto"/>
            <w:noWrap w:val="0"/>
            <w:vAlign w:val="center"/>
          </w:tcPr>
          <w:p w14:paraId="2C65CBDB">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100</w:t>
            </w:r>
          </w:p>
        </w:tc>
      </w:tr>
      <w:tr w14:paraId="4CEB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358120D6">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000</w:t>
            </w:r>
          </w:p>
        </w:tc>
        <w:tc>
          <w:tcPr>
            <w:tcW w:w="2877" w:type="dxa"/>
            <w:shd w:val="clear" w:color="auto" w:fill="auto"/>
            <w:noWrap w:val="0"/>
            <w:vAlign w:val="center"/>
          </w:tcPr>
          <w:p w14:paraId="75F3023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70</w:t>
            </w:r>
          </w:p>
        </w:tc>
      </w:tr>
      <w:tr w14:paraId="4AA8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25108AED">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000（含）-</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000</w:t>
            </w:r>
          </w:p>
        </w:tc>
        <w:tc>
          <w:tcPr>
            <w:tcW w:w="2877" w:type="dxa"/>
            <w:shd w:val="clear" w:color="auto" w:fill="auto"/>
            <w:noWrap w:val="0"/>
            <w:vAlign w:val="center"/>
          </w:tcPr>
          <w:p w14:paraId="79F9CB69">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40</w:t>
            </w:r>
          </w:p>
        </w:tc>
      </w:tr>
      <w:tr w14:paraId="3089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0F242FAA">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（含）-</w:t>
            </w:r>
            <w:r>
              <w:rPr>
                <w:rFonts w:hint="eastAsia" w:ascii="宋体" w:hAnsi="宋体" w:eastAsia="宋体" w:cs="宋体"/>
                <w:kern w:val="0"/>
                <w:sz w:val="24"/>
                <w:szCs w:val="24"/>
                <w:lang w:val="en-US" w:eastAsia="zh-CN"/>
              </w:rPr>
              <w:t>2000</w:t>
            </w:r>
          </w:p>
        </w:tc>
        <w:tc>
          <w:tcPr>
            <w:tcW w:w="2877" w:type="dxa"/>
            <w:shd w:val="clear" w:color="auto" w:fill="auto"/>
            <w:noWrap w:val="0"/>
            <w:vAlign w:val="center"/>
          </w:tcPr>
          <w:p w14:paraId="33119016">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r>
      <w:tr w14:paraId="6223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3FDE87BE">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00（含）-</w:t>
            </w:r>
            <w:r>
              <w:rPr>
                <w:rFonts w:hint="eastAsia" w:ascii="宋体" w:hAnsi="宋体" w:eastAsia="宋体" w:cs="宋体"/>
                <w:kern w:val="0"/>
                <w:sz w:val="24"/>
                <w:szCs w:val="24"/>
                <w:lang w:val="en-US" w:eastAsia="zh-CN"/>
              </w:rPr>
              <w:t>1000</w:t>
            </w:r>
          </w:p>
        </w:tc>
        <w:tc>
          <w:tcPr>
            <w:tcW w:w="2877" w:type="dxa"/>
            <w:shd w:val="clear" w:color="auto" w:fill="auto"/>
            <w:noWrap w:val="0"/>
            <w:vAlign w:val="center"/>
          </w:tcPr>
          <w:p w14:paraId="4573118A">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w:t>
            </w:r>
          </w:p>
        </w:tc>
      </w:tr>
      <w:tr w14:paraId="2180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2668AD2B">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（含）-</w:t>
            </w:r>
            <w:r>
              <w:rPr>
                <w:rFonts w:hint="eastAsia" w:ascii="宋体" w:hAnsi="宋体" w:eastAsia="宋体" w:cs="宋体"/>
                <w:kern w:val="0"/>
                <w:sz w:val="24"/>
                <w:szCs w:val="24"/>
                <w:lang w:val="en-US" w:eastAsia="zh-CN"/>
              </w:rPr>
              <w:t>500</w:t>
            </w:r>
          </w:p>
        </w:tc>
        <w:tc>
          <w:tcPr>
            <w:tcW w:w="2877" w:type="dxa"/>
            <w:shd w:val="clear" w:color="auto" w:fill="auto"/>
            <w:noWrap w:val="0"/>
            <w:vAlign w:val="center"/>
          </w:tcPr>
          <w:p w14:paraId="27600C08">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r>
      <w:tr w14:paraId="7AFF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46" w:type="dxa"/>
            <w:noWrap w:val="0"/>
            <w:vAlign w:val="center"/>
          </w:tcPr>
          <w:p w14:paraId="57FA7454">
            <w:pPr>
              <w:widowControl/>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50（含）-</w:t>
            </w:r>
            <w:r>
              <w:rPr>
                <w:rFonts w:hint="eastAsia" w:ascii="宋体" w:hAnsi="宋体" w:eastAsia="宋体" w:cs="宋体"/>
                <w:kern w:val="0"/>
                <w:sz w:val="24"/>
                <w:szCs w:val="24"/>
                <w:lang w:val="en-US" w:eastAsia="zh-CN"/>
              </w:rPr>
              <w:t>300</w:t>
            </w:r>
          </w:p>
        </w:tc>
        <w:tc>
          <w:tcPr>
            <w:tcW w:w="2877" w:type="dxa"/>
            <w:shd w:val="clear" w:color="auto" w:fill="auto"/>
            <w:noWrap w:val="0"/>
            <w:vAlign w:val="center"/>
          </w:tcPr>
          <w:p w14:paraId="45F89263">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r>
    </w:tbl>
    <w:p w14:paraId="1848A7B2">
      <w:pPr>
        <w:overflowPunct w:val="0"/>
        <w:adjustRightInd w:val="0"/>
        <w:snapToGrid w:val="0"/>
        <w:spacing w:line="560" w:lineRule="exact"/>
        <w:ind w:firstLine="592" w:firstLineChars="200"/>
        <w:outlineLvl w:val="9"/>
        <w:rPr>
          <w:rFonts w:hint="eastAsia" w:ascii="仿宋_GB2312" w:hAnsi="仿宋_GB2312" w:eastAsia="仿宋_GB2312" w:cs="Times New Roman"/>
          <w:kern w:val="2"/>
          <w:sz w:val="32"/>
          <w:szCs w:val="32"/>
          <w:u w:val="none"/>
          <w:lang w:eastAsia="zh-CN"/>
        </w:rPr>
      </w:pPr>
      <w:r>
        <w:rPr>
          <w:rFonts w:hint="eastAsia" w:ascii="仿宋_GB2312" w:hAnsi="宋体" w:eastAsia="仿宋_GB2312"/>
          <w:bCs/>
          <w:spacing w:val="-12"/>
          <w:sz w:val="32"/>
          <w:szCs w:val="32"/>
        </w:rPr>
        <w:t>备注：申请</w:t>
      </w:r>
      <w:r>
        <w:rPr>
          <w:rFonts w:hint="eastAsia" w:ascii="仿宋_GB2312" w:hAnsi="宋体" w:eastAsia="仿宋_GB2312"/>
          <w:bCs/>
          <w:sz w:val="32"/>
          <w:szCs w:val="32"/>
        </w:rPr>
        <w:t>离岸服务外包</w:t>
      </w:r>
      <w:r>
        <w:rPr>
          <w:rFonts w:hint="eastAsia" w:ascii="仿宋_GB2312" w:hAnsi="宋体"/>
          <w:bCs/>
          <w:sz w:val="32"/>
          <w:szCs w:val="32"/>
          <w:lang w:val="en-US" w:eastAsia="zh-CN"/>
        </w:rPr>
        <w:t>业务</w:t>
      </w:r>
      <w:r>
        <w:rPr>
          <w:rFonts w:hint="eastAsia" w:ascii="仿宋_GB2312" w:hAnsi="宋体" w:eastAsia="仿宋_GB2312"/>
          <w:bCs/>
          <w:sz w:val="32"/>
          <w:szCs w:val="32"/>
        </w:rPr>
        <w:t>支持的，不得重复申请技术出口业务支持。</w:t>
      </w:r>
    </w:p>
    <w:p w14:paraId="08E25E67">
      <w:pPr>
        <w:overflowPunct w:val="0"/>
        <w:adjustRightInd w:val="0"/>
        <w:snapToGrid w:val="0"/>
        <w:spacing w:line="560" w:lineRule="exact"/>
        <w:ind w:firstLine="640" w:firstLineChars="200"/>
        <w:rPr>
          <w:rFonts w:hint="eastAsia" w:ascii="仿宋_GB2312" w:hAnsi="宋体" w:eastAsia="仿宋_GB2312"/>
          <w:bCs/>
          <w:sz w:val="32"/>
          <w:szCs w:val="32"/>
        </w:rPr>
      </w:pPr>
      <w:r>
        <w:rPr>
          <w:rFonts w:hint="eastAsia" w:ascii="仿宋_GB2312" w:eastAsia="仿宋_GB2312"/>
          <w:bCs/>
          <w:sz w:val="32"/>
          <w:szCs w:val="32"/>
        </w:rPr>
        <w:t>备</w:t>
      </w:r>
      <w:r>
        <w:rPr>
          <w:rFonts w:hint="eastAsia" w:ascii="仿宋_GB2312" w:hAnsi="宋体" w:eastAsia="仿宋_GB2312"/>
          <w:bCs/>
          <w:sz w:val="32"/>
          <w:szCs w:val="32"/>
        </w:rPr>
        <w:t>注：各种货币兑换汇率按照国家外汇管理局公布的</w:t>
      </w:r>
      <w:r>
        <w:rPr>
          <w:rFonts w:hint="eastAsia" w:ascii="仿宋_GB2312" w:hAnsi="宋体" w:eastAsia="仿宋_GB2312"/>
          <w:bCs/>
          <w:sz w:val="32"/>
          <w:szCs w:val="32"/>
          <w:lang w:eastAsia="zh-CN"/>
        </w:rPr>
        <w:t>202</w:t>
      </w:r>
      <w:r>
        <w:rPr>
          <w:rFonts w:hint="eastAsia" w:ascii="仿宋_GB2312" w:hAnsi="宋体"/>
          <w:bCs/>
          <w:sz w:val="32"/>
          <w:szCs w:val="32"/>
          <w:lang w:val="en-US" w:eastAsia="zh-CN"/>
        </w:rPr>
        <w:t>5</w:t>
      </w:r>
      <w:r>
        <w:rPr>
          <w:rFonts w:hint="eastAsia" w:ascii="仿宋_GB2312" w:hAnsi="宋体" w:eastAsia="仿宋_GB2312"/>
          <w:bCs/>
          <w:sz w:val="32"/>
          <w:szCs w:val="32"/>
          <w:lang w:eastAsia="zh-CN"/>
        </w:rPr>
        <w:t>年</w:t>
      </w:r>
      <w:r>
        <w:rPr>
          <w:rFonts w:hint="default" w:ascii="仿宋_GB2312" w:hAnsi="宋体" w:eastAsia="仿宋_GB2312"/>
          <w:bCs/>
          <w:sz w:val="32"/>
          <w:szCs w:val="32"/>
          <w:lang w:eastAsia="zh-CN"/>
        </w:rPr>
        <w:t>2</w:t>
      </w:r>
      <w:r>
        <w:rPr>
          <w:rFonts w:hint="eastAsia" w:ascii="仿宋_GB2312" w:hAnsi="宋体" w:eastAsia="仿宋_GB2312"/>
          <w:bCs/>
          <w:sz w:val="32"/>
          <w:szCs w:val="32"/>
          <w:lang w:eastAsia="zh-CN"/>
        </w:rPr>
        <w:t>月</w:t>
      </w:r>
      <w:r>
        <w:rPr>
          <w:rFonts w:hint="default" w:ascii="仿宋_GB2312" w:hAnsi="宋体" w:eastAsia="仿宋_GB2312"/>
          <w:bCs/>
          <w:sz w:val="32"/>
          <w:szCs w:val="32"/>
          <w:lang w:eastAsia="zh-CN"/>
        </w:rPr>
        <w:t>2</w:t>
      </w:r>
      <w:r>
        <w:rPr>
          <w:rFonts w:hint="eastAsia" w:ascii="仿宋_GB2312" w:hAnsi="宋体"/>
          <w:bCs/>
          <w:sz w:val="32"/>
          <w:szCs w:val="32"/>
          <w:lang w:val="en-US" w:eastAsia="zh-CN"/>
        </w:rPr>
        <w:t>8</w:t>
      </w:r>
      <w:r>
        <w:rPr>
          <w:rFonts w:hint="eastAsia" w:ascii="仿宋_GB2312" w:hAnsi="宋体" w:eastAsia="仿宋_GB2312"/>
          <w:bCs/>
          <w:sz w:val="32"/>
          <w:szCs w:val="32"/>
          <w:lang w:eastAsia="zh-CN"/>
        </w:rPr>
        <w:t>日</w:t>
      </w:r>
      <w:r>
        <w:rPr>
          <w:rFonts w:hint="eastAsia" w:ascii="仿宋_GB2312" w:hAnsi="宋体"/>
          <w:bCs/>
          <w:sz w:val="32"/>
          <w:szCs w:val="32"/>
          <w:lang w:val="en-US" w:eastAsia="zh-CN"/>
        </w:rPr>
        <w:t>前（含当日）最新一期</w:t>
      </w:r>
      <w:r>
        <w:rPr>
          <w:rFonts w:hint="eastAsia" w:ascii="仿宋_GB2312" w:hAnsi="宋体" w:eastAsia="仿宋_GB2312"/>
          <w:bCs/>
          <w:sz w:val="32"/>
          <w:szCs w:val="32"/>
        </w:rPr>
        <w:t>《各种货币对美元折算率表》为计算依据。</w:t>
      </w:r>
    </w:p>
    <w:p w14:paraId="69562363">
      <w:pPr>
        <w:spacing w:line="560" w:lineRule="exact"/>
        <w:ind w:firstLine="560" w:firstLineChars="200"/>
        <w:rPr>
          <w:rFonts w:ascii="仿宋_GB2312" w:hAnsi="仿宋_GB2312" w:eastAsia="仿宋_GB2312" w:cs="仿宋_GB2312"/>
          <w:sz w:val="32"/>
          <w:szCs w:val="32"/>
        </w:rPr>
      </w:pPr>
      <w:r>
        <w:rPr>
          <w:rFonts w:hint="eastAsia" w:ascii="微软雅黑" w:hAnsi="微软雅黑" w:eastAsia="微软雅黑" w:cs="微软雅黑"/>
          <w:sz w:val="28"/>
          <w:szCs w:val="28"/>
          <w:lang w:val="en-US" w:eastAsia="zh-CN"/>
        </w:rPr>
        <w:t>六、</w:t>
      </w:r>
      <w:bookmarkStart w:id="0" w:name="_GoBack"/>
      <w:bookmarkEnd w:id="0"/>
      <w:r>
        <w:rPr>
          <w:rFonts w:hint="eastAsia" w:ascii="楷体_GB2312" w:hAnsi="楷体_GB2312" w:eastAsia="楷体_GB2312" w:cs="楷体_GB2312"/>
          <w:sz w:val="32"/>
          <w:szCs w:val="32"/>
        </w:rPr>
        <w:t>受理时间</w:t>
      </w:r>
    </w:p>
    <w:p w14:paraId="77C0CC53">
      <w:pPr>
        <w:spacing w:line="560" w:lineRule="exact"/>
        <w:ind w:left="640" w:leftChars="200"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7</w:t>
      </w:r>
      <w:r>
        <w:rPr>
          <w:rFonts w:hint="eastAsia" w:ascii="仿宋_GB2312" w:hAnsi="宋体" w:eastAsia="仿宋_GB2312"/>
          <w:sz w:val="32"/>
          <w:szCs w:val="32"/>
          <w:highlight w:val="none"/>
        </w:rPr>
        <w:t>日—202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27</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。2.材料提交时间:</w:t>
      </w:r>
      <w:r>
        <w:rPr>
          <w:rFonts w:hint="eastAsia" w:ascii="仿宋_GB2312" w:hAnsi="宋体" w:eastAsia="仿宋_GB2312"/>
          <w:sz w:val="32"/>
          <w:szCs w:val="32"/>
          <w:highlight w:val="none"/>
        </w:rPr>
        <w:t>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10</w:t>
      </w:r>
      <w:r>
        <w:rPr>
          <w:rFonts w:hint="eastAsia" w:ascii="仿宋_GB2312" w:hAnsi="宋体" w:eastAsia="仿宋_GB2312"/>
          <w:sz w:val="32"/>
          <w:szCs w:val="32"/>
          <w:highlight w:val="none"/>
        </w:rPr>
        <w:t>日—202</w:t>
      </w:r>
      <w:r>
        <w:rPr>
          <w:rFonts w:hint="eastAsia" w:ascii="仿宋_GB2312" w:hAnsi="宋体"/>
          <w:sz w:val="32"/>
          <w:szCs w:val="32"/>
          <w:highlight w:val="none"/>
          <w:lang w:val="en-US" w:eastAsia="zh-CN"/>
        </w:rPr>
        <w:t>5</w:t>
      </w:r>
      <w:r>
        <w:rPr>
          <w:rFonts w:hint="eastAsia" w:ascii="仿宋_GB2312" w:hAnsi="宋体" w:eastAsia="仿宋_GB2312"/>
          <w:sz w:val="32"/>
          <w:szCs w:val="32"/>
          <w:highlight w:val="none"/>
        </w:rPr>
        <w:t>年</w:t>
      </w:r>
      <w:r>
        <w:rPr>
          <w:rFonts w:hint="default"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sz w:val="32"/>
          <w:szCs w:val="32"/>
          <w:highlight w:val="none"/>
          <w:lang w:val="en-US" w:eastAsia="zh-CN"/>
        </w:rPr>
        <w:t>30</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14:paraId="0D30C628">
      <w:pPr>
        <w:spacing w:line="560" w:lineRule="exact"/>
        <w:ind w:left="0" w:leftChars="0" w:firstLine="640" w:firstLineChars="200"/>
        <w:rPr>
          <w:rFonts w:hint="eastAsia" w:ascii="仿宋_GB2312" w:hAnsi="宋体" w:eastAsia="仿宋_GB2312" w:cs="Times New Roman"/>
          <w:kern w:val="2"/>
          <w:sz w:val="32"/>
          <w:szCs w:val="32"/>
          <w:lang w:val="en-US" w:eastAsia="zh-CN" w:bidi="ar-SA"/>
        </w:rPr>
      </w:pPr>
      <w:r>
        <w:rPr>
          <w:rFonts w:hint="eastAsia" w:ascii="仿宋_GB2312" w:hAnsi="仿宋_GB2312" w:eastAsia="仿宋_GB2312" w:cs="仿宋_GB2312"/>
          <w:sz w:val="32"/>
          <w:szCs w:val="32"/>
        </w:rPr>
        <w:t>申报单位在上述规定时间内在线填报、提交材料，逾期不予受理。</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8E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-222885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72BF">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p w14:paraId="139010CA">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55pt;height:144pt;width:144pt;mso-position-horizontal:outside;mso-position-horizontal-relative:margin;mso-wrap-style:none;z-index:251659264;mso-width-relative:page;mso-height-relative:page;" filled="f" stroked="f" coordsize="21600,21600" o:gfxdata="UEsDBAoAAAAAAIdO4kAAAAAAAAAAAAAAAAAEAAAAZHJzL1BLAwQUAAAACACHTuJAA7KNa9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2xQEy1me8+XIwzZ7&#10;AFmV8rJA9Qt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yjWv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0A1E72BF">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p>
                  <w:p w14:paraId="139010CA">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mNlYjk0YWQxZjJhYjVhYWQ4MTMzNTJmMjYxZTUifQ=="/>
  </w:docVars>
  <w:rsids>
    <w:rsidRoot w:val="4E427F4E"/>
    <w:rsid w:val="010730BA"/>
    <w:rsid w:val="024617F2"/>
    <w:rsid w:val="02C32E43"/>
    <w:rsid w:val="03193209"/>
    <w:rsid w:val="039FBDA5"/>
    <w:rsid w:val="06316639"/>
    <w:rsid w:val="07A31864"/>
    <w:rsid w:val="08183C31"/>
    <w:rsid w:val="0958005D"/>
    <w:rsid w:val="0A8039EC"/>
    <w:rsid w:val="0DE44900"/>
    <w:rsid w:val="13692B1F"/>
    <w:rsid w:val="1635775C"/>
    <w:rsid w:val="16606148"/>
    <w:rsid w:val="16EFFF42"/>
    <w:rsid w:val="177F1AA8"/>
    <w:rsid w:val="179EAC43"/>
    <w:rsid w:val="17FFBEA3"/>
    <w:rsid w:val="1A380BC7"/>
    <w:rsid w:val="1AB10165"/>
    <w:rsid w:val="1BDFD2C6"/>
    <w:rsid w:val="1BE94436"/>
    <w:rsid w:val="1BFFCB77"/>
    <w:rsid w:val="1DE6661E"/>
    <w:rsid w:val="1FA97B27"/>
    <w:rsid w:val="20415167"/>
    <w:rsid w:val="20E47307"/>
    <w:rsid w:val="214B077B"/>
    <w:rsid w:val="229A6D64"/>
    <w:rsid w:val="23143825"/>
    <w:rsid w:val="239966C6"/>
    <w:rsid w:val="25DFF8F8"/>
    <w:rsid w:val="26154FB2"/>
    <w:rsid w:val="27EF7DF0"/>
    <w:rsid w:val="29B9717C"/>
    <w:rsid w:val="2CC90C06"/>
    <w:rsid w:val="2DFB39DF"/>
    <w:rsid w:val="2EEB3E11"/>
    <w:rsid w:val="2EF61CB4"/>
    <w:rsid w:val="2F49DFE2"/>
    <w:rsid w:val="2F5F0161"/>
    <w:rsid w:val="2F6A0C35"/>
    <w:rsid w:val="2FCF02EB"/>
    <w:rsid w:val="2FFB4CA0"/>
    <w:rsid w:val="303D4B26"/>
    <w:rsid w:val="30F35917"/>
    <w:rsid w:val="352E4023"/>
    <w:rsid w:val="35AB5AC2"/>
    <w:rsid w:val="364B2F81"/>
    <w:rsid w:val="367B4FFF"/>
    <w:rsid w:val="36FF4BD0"/>
    <w:rsid w:val="373F414A"/>
    <w:rsid w:val="37B3832D"/>
    <w:rsid w:val="37D9940A"/>
    <w:rsid w:val="37E34331"/>
    <w:rsid w:val="37ED46E5"/>
    <w:rsid w:val="37FF2AF1"/>
    <w:rsid w:val="38523D46"/>
    <w:rsid w:val="3AFE355B"/>
    <w:rsid w:val="3AFF691F"/>
    <w:rsid w:val="3BFEADEB"/>
    <w:rsid w:val="3BFF746B"/>
    <w:rsid w:val="3C891B22"/>
    <w:rsid w:val="3D9AE073"/>
    <w:rsid w:val="3DC6B1C6"/>
    <w:rsid w:val="3DEE27EF"/>
    <w:rsid w:val="3DF966A1"/>
    <w:rsid w:val="3DFC4C47"/>
    <w:rsid w:val="3E1FBDDD"/>
    <w:rsid w:val="3E9FE120"/>
    <w:rsid w:val="3EA6EED6"/>
    <w:rsid w:val="3EFF3CAD"/>
    <w:rsid w:val="3F3FFE03"/>
    <w:rsid w:val="3F4F57D4"/>
    <w:rsid w:val="3F7E2A88"/>
    <w:rsid w:val="3F7F8B23"/>
    <w:rsid w:val="3FAB32FD"/>
    <w:rsid w:val="3FAD2DF5"/>
    <w:rsid w:val="3FB6D29A"/>
    <w:rsid w:val="3FBF0665"/>
    <w:rsid w:val="3FDF0E60"/>
    <w:rsid w:val="3FE63371"/>
    <w:rsid w:val="3FEDAA37"/>
    <w:rsid w:val="3FEE06A7"/>
    <w:rsid w:val="3FEF7B67"/>
    <w:rsid w:val="3FEFB1C4"/>
    <w:rsid w:val="3FF56039"/>
    <w:rsid w:val="3FF82D8E"/>
    <w:rsid w:val="3FFA1672"/>
    <w:rsid w:val="3FFD386E"/>
    <w:rsid w:val="3FFFC479"/>
    <w:rsid w:val="40F6617B"/>
    <w:rsid w:val="421247E5"/>
    <w:rsid w:val="43017506"/>
    <w:rsid w:val="44EB79FC"/>
    <w:rsid w:val="471AFDCB"/>
    <w:rsid w:val="47755CD6"/>
    <w:rsid w:val="47794FD9"/>
    <w:rsid w:val="478D6B48"/>
    <w:rsid w:val="47AF1FF9"/>
    <w:rsid w:val="48472E23"/>
    <w:rsid w:val="48BA77DA"/>
    <w:rsid w:val="48F01F8F"/>
    <w:rsid w:val="4A395A5A"/>
    <w:rsid w:val="4C883027"/>
    <w:rsid w:val="4D5F19AB"/>
    <w:rsid w:val="4E427F4E"/>
    <w:rsid w:val="4E7B8CC5"/>
    <w:rsid w:val="4EB472C4"/>
    <w:rsid w:val="4EFB9250"/>
    <w:rsid w:val="4F9F449B"/>
    <w:rsid w:val="4FA72771"/>
    <w:rsid w:val="4FA866EF"/>
    <w:rsid w:val="4FB5ECBC"/>
    <w:rsid w:val="4FDD8572"/>
    <w:rsid w:val="52CD4EFE"/>
    <w:rsid w:val="52DFCADF"/>
    <w:rsid w:val="52ECA04C"/>
    <w:rsid w:val="53FFBC15"/>
    <w:rsid w:val="54D25B7B"/>
    <w:rsid w:val="54F786D7"/>
    <w:rsid w:val="5765537C"/>
    <w:rsid w:val="57EBCEA1"/>
    <w:rsid w:val="57ECA765"/>
    <w:rsid w:val="58670CF0"/>
    <w:rsid w:val="591F3660"/>
    <w:rsid w:val="59B14FC6"/>
    <w:rsid w:val="59EF6C51"/>
    <w:rsid w:val="5B8B5001"/>
    <w:rsid w:val="5BF7F33F"/>
    <w:rsid w:val="5BFEF1BF"/>
    <w:rsid w:val="5CCF6AE6"/>
    <w:rsid w:val="5D7C7E81"/>
    <w:rsid w:val="5D7FFBF4"/>
    <w:rsid w:val="5DBFA654"/>
    <w:rsid w:val="5DDF2398"/>
    <w:rsid w:val="5DF5021A"/>
    <w:rsid w:val="5DFB0559"/>
    <w:rsid w:val="5E9F85EB"/>
    <w:rsid w:val="5EB7F520"/>
    <w:rsid w:val="5F17F9E5"/>
    <w:rsid w:val="5F5F370F"/>
    <w:rsid w:val="5FB7FABB"/>
    <w:rsid w:val="5FB8B78E"/>
    <w:rsid w:val="5FBF34D5"/>
    <w:rsid w:val="5FCEACF3"/>
    <w:rsid w:val="5FD76028"/>
    <w:rsid w:val="5FDF4E80"/>
    <w:rsid w:val="5FE38481"/>
    <w:rsid w:val="5FFD116A"/>
    <w:rsid w:val="5FFFA2F2"/>
    <w:rsid w:val="5FFFC036"/>
    <w:rsid w:val="606BD6A0"/>
    <w:rsid w:val="610B3BE4"/>
    <w:rsid w:val="611E70F2"/>
    <w:rsid w:val="616D4A65"/>
    <w:rsid w:val="627A7B59"/>
    <w:rsid w:val="62C949D4"/>
    <w:rsid w:val="638BF81F"/>
    <w:rsid w:val="63DF7BD5"/>
    <w:rsid w:val="63EF5129"/>
    <w:rsid w:val="65F5EF6D"/>
    <w:rsid w:val="669F05D5"/>
    <w:rsid w:val="66E302F8"/>
    <w:rsid w:val="66FB4D97"/>
    <w:rsid w:val="66FF3DE4"/>
    <w:rsid w:val="67ABC9E8"/>
    <w:rsid w:val="685C5548"/>
    <w:rsid w:val="68C34359"/>
    <w:rsid w:val="690C77EF"/>
    <w:rsid w:val="699F10E1"/>
    <w:rsid w:val="69DFB3EF"/>
    <w:rsid w:val="69FA3984"/>
    <w:rsid w:val="6A997170"/>
    <w:rsid w:val="6AFD40DD"/>
    <w:rsid w:val="6BB70587"/>
    <w:rsid w:val="6BBFFF93"/>
    <w:rsid w:val="6BD5172D"/>
    <w:rsid w:val="6BF9D2D0"/>
    <w:rsid w:val="6CE76EA8"/>
    <w:rsid w:val="6EAD74B0"/>
    <w:rsid w:val="6EDA4145"/>
    <w:rsid w:val="6EF60D37"/>
    <w:rsid w:val="6F3DA88F"/>
    <w:rsid w:val="6F7CC073"/>
    <w:rsid w:val="6F7EB485"/>
    <w:rsid w:val="6F87374B"/>
    <w:rsid w:val="6F9FDAB0"/>
    <w:rsid w:val="6FBEAE16"/>
    <w:rsid w:val="6FDFDB55"/>
    <w:rsid w:val="6FFF9BC8"/>
    <w:rsid w:val="70FF4525"/>
    <w:rsid w:val="713559D7"/>
    <w:rsid w:val="713F2A6F"/>
    <w:rsid w:val="72FFBB24"/>
    <w:rsid w:val="735F16A0"/>
    <w:rsid w:val="73726A6F"/>
    <w:rsid w:val="737D7F08"/>
    <w:rsid w:val="73ED9F1B"/>
    <w:rsid w:val="73FDB78B"/>
    <w:rsid w:val="73FF80D1"/>
    <w:rsid w:val="748D6299"/>
    <w:rsid w:val="757DA5F8"/>
    <w:rsid w:val="757E6F7E"/>
    <w:rsid w:val="75DFFC54"/>
    <w:rsid w:val="75EF5E88"/>
    <w:rsid w:val="75FBD13B"/>
    <w:rsid w:val="76378114"/>
    <w:rsid w:val="767C3B1E"/>
    <w:rsid w:val="767D0AB4"/>
    <w:rsid w:val="76DD2F8E"/>
    <w:rsid w:val="76EA9C46"/>
    <w:rsid w:val="76EFEC8C"/>
    <w:rsid w:val="76FC4D35"/>
    <w:rsid w:val="77497C80"/>
    <w:rsid w:val="7756C495"/>
    <w:rsid w:val="776823C1"/>
    <w:rsid w:val="77AEF17C"/>
    <w:rsid w:val="77BC0919"/>
    <w:rsid w:val="77BD252D"/>
    <w:rsid w:val="77BF67E8"/>
    <w:rsid w:val="77BFEA3E"/>
    <w:rsid w:val="77D4A9B2"/>
    <w:rsid w:val="77D7B23C"/>
    <w:rsid w:val="77D9C456"/>
    <w:rsid w:val="77F75DC9"/>
    <w:rsid w:val="77FE7E9A"/>
    <w:rsid w:val="77FF1D92"/>
    <w:rsid w:val="77FF41DA"/>
    <w:rsid w:val="77FFAC0F"/>
    <w:rsid w:val="795D37FC"/>
    <w:rsid w:val="7B6BE4F4"/>
    <w:rsid w:val="7B714EBA"/>
    <w:rsid w:val="7B7B7A8B"/>
    <w:rsid w:val="7B7D8890"/>
    <w:rsid w:val="7B9160B0"/>
    <w:rsid w:val="7B9E7D5A"/>
    <w:rsid w:val="7BBDC9C8"/>
    <w:rsid w:val="7BBF8E4A"/>
    <w:rsid w:val="7BF68C1A"/>
    <w:rsid w:val="7BFBB2A3"/>
    <w:rsid w:val="7BFE23E2"/>
    <w:rsid w:val="7C4F7E6D"/>
    <w:rsid w:val="7C73E443"/>
    <w:rsid w:val="7CC20EBA"/>
    <w:rsid w:val="7CFE01C5"/>
    <w:rsid w:val="7CFE9A54"/>
    <w:rsid w:val="7CFF5375"/>
    <w:rsid w:val="7D7FA7E6"/>
    <w:rsid w:val="7DBDA1EF"/>
    <w:rsid w:val="7DD39FED"/>
    <w:rsid w:val="7DDF6ED2"/>
    <w:rsid w:val="7DDFFF13"/>
    <w:rsid w:val="7DF7C3CC"/>
    <w:rsid w:val="7DF9BFF9"/>
    <w:rsid w:val="7DFF87F5"/>
    <w:rsid w:val="7DFF9215"/>
    <w:rsid w:val="7E3ECBAA"/>
    <w:rsid w:val="7E5F5A73"/>
    <w:rsid w:val="7E7BF594"/>
    <w:rsid w:val="7EBDFB5C"/>
    <w:rsid w:val="7EDF7117"/>
    <w:rsid w:val="7EF9D1B2"/>
    <w:rsid w:val="7EFE3A98"/>
    <w:rsid w:val="7F4F8152"/>
    <w:rsid w:val="7F5C47A1"/>
    <w:rsid w:val="7F5D169A"/>
    <w:rsid w:val="7F5F591C"/>
    <w:rsid w:val="7F63B382"/>
    <w:rsid w:val="7F6A6132"/>
    <w:rsid w:val="7F7D283A"/>
    <w:rsid w:val="7F7DA65B"/>
    <w:rsid w:val="7F7F6F94"/>
    <w:rsid w:val="7F9F0280"/>
    <w:rsid w:val="7FA629D7"/>
    <w:rsid w:val="7FAF2CEA"/>
    <w:rsid w:val="7FAFDABC"/>
    <w:rsid w:val="7FB74414"/>
    <w:rsid w:val="7FB9736A"/>
    <w:rsid w:val="7FBAB837"/>
    <w:rsid w:val="7FBB04EC"/>
    <w:rsid w:val="7FBB914E"/>
    <w:rsid w:val="7FBFD6D9"/>
    <w:rsid w:val="7FD644B1"/>
    <w:rsid w:val="7FDBB575"/>
    <w:rsid w:val="7FDD6CE2"/>
    <w:rsid w:val="7FE5A358"/>
    <w:rsid w:val="7FEA135E"/>
    <w:rsid w:val="7FEBFD15"/>
    <w:rsid w:val="7FEFEE1A"/>
    <w:rsid w:val="7FF72AAC"/>
    <w:rsid w:val="7FF94AA5"/>
    <w:rsid w:val="7FFA222F"/>
    <w:rsid w:val="7FFBE3D3"/>
    <w:rsid w:val="7FFBF0F7"/>
    <w:rsid w:val="7FFE61E9"/>
    <w:rsid w:val="7FFF2AF4"/>
    <w:rsid w:val="7FFF5AA5"/>
    <w:rsid w:val="8F19AE5A"/>
    <w:rsid w:val="947F5A22"/>
    <w:rsid w:val="955FCABE"/>
    <w:rsid w:val="97FF73E3"/>
    <w:rsid w:val="9ADFF4A3"/>
    <w:rsid w:val="9BDEC224"/>
    <w:rsid w:val="9DBABAD5"/>
    <w:rsid w:val="9DF7B769"/>
    <w:rsid w:val="9DFF5238"/>
    <w:rsid w:val="9EFFAFC3"/>
    <w:rsid w:val="9F181EF8"/>
    <w:rsid w:val="9F3AB858"/>
    <w:rsid w:val="9F799878"/>
    <w:rsid w:val="9F7FB120"/>
    <w:rsid w:val="9FBD6E05"/>
    <w:rsid w:val="9FD53647"/>
    <w:rsid w:val="9FFB3C7E"/>
    <w:rsid w:val="A25D60CE"/>
    <w:rsid w:val="A3FF8964"/>
    <w:rsid w:val="A76F7BD6"/>
    <w:rsid w:val="A7736CDD"/>
    <w:rsid w:val="A7F7C84B"/>
    <w:rsid w:val="A7FF1F47"/>
    <w:rsid w:val="ABFF20DB"/>
    <w:rsid w:val="AF54AED1"/>
    <w:rsid w:val="AFB9D237"/>
    <w:rsid w:val="AFBF79A5"/>
    <w:rsid w:val="AFE62E66"/>
    <w:rsid w:val="AFE7D23A"/>
    <w:rsid w:val="AFFFD4BF"/>
    <w:rsid w:val="B3BFE5F3"/>
    <w:rsid w:val="B5F77A00"/>
    <w:rsid w:val="B76FB563"/>
    <w:rsid w:val="B7FC593F"/>
    <w:rsid w:val="B9FD5003"/>
    <w:rsid w:val="BA744679"/>
    <w:rsid w:val="BABFB6A5"/>
    <w:rsid w:val="BAD5070A"/>
    <w:rsid w:val="BADA0318"/>
    <w:rsid w:val="BAFEC617"/>
    <w:rsid w:val="BB527FD7"/>
    <w:rsid w:val="BBBF5BF2"/>
    <w:rsid w:val="BC5EA215"/>
    <w:rsid w:val="BD6FDC94"/>
    <w:rsid w:val="BD7EDA68"/>
    <w:rsid w:val="BDBD5DB4"/>
    <w:rsid w:val="BDDE76B4"/>
    <w:rsid w:val="BE77B2A5"/>
    <w:rsid w:val="BEF790D7"/>
    <w:rsid w:val="BEFB4E54"/>
    <w:rsid w:val="BEFDB10A"/>
    <w:rsid w:val="BEFF554A"/>
    <w:rsid w:val="BF271BD8"/>
    <w:rsid w:val="BF4F1627"/>
    <w:rsid w:val="BF7EA772"/>
    <w:rsid w:val="BF9E5949"/>
    <w:rsid w:val="BFE76704"/>
    <w:rsid w:val="BFEF3770"/>
    <w:rsid w:val="BFF3C7EB"/>
    <w:rsid w:val="BFFBA2F4"/>
    <w:rsid w:val="BFFEB1D7"/>
    <w:rsid w:val="C1592504"/>
    <w:rsid w:val="C6FDC200"/>
    <w:rsid w:val="C7DFF44F"/>
    <w:rsid w:val="CE38AAF9"/>
    <w:rsid w:val="CEBD9BC9"/>
    <w:rsid w:val="CEBFA542"/>
    <w:rsid w:val="CEFDF65C"/>
    <w:rsid w:val="CF6B8418"/>
    <w:rsid w:val="CF77514D"/>
    <w:rsid w:val="CFF32339"/>
    <w:rsid w:val="CFFFAED9"/>
    <w:rsid w:val="D377D2CC"/>
    <w:rsid w:val="D3BBEA7A"/>
    <w:rsid w:val="D55D196A"/>
    <w:rsid w:val="D5BD1D27"/>
    <w:rsid w:val="D5BFDDFD"/>
    <w:rsid w:val="D5CF10FB"/>
    <w:rsid w:val="D5F7B483"/>
    <w:rsid w:val="D6A50C20"/>
    <w:rsid w:val="D6FF31D6"/>
    <w:rsid w:val="D77E1FE9"/>
    <w:rsid w:val="D7FF6053"/>
    <w:rsid w:val="D93E5ABB"/>
    <w:rsid w:val="DABB3C13"/>
    <w:rsid w:val="DBFFD2B0"/>
    <w:rsid w:val="DCEFA667"/>
    <w:rsid w:val="DD7ED655"/>
    <w:rsid w:val="DDB47FDA"/>
    <w:rsid w:val="DDFB9A1A"/>
    <w:rsid w:val="DDFFBB1D"/>
    <w:rsid w:val="DEAFE6C8"/>
    <w:rsid w:val="DEFF346B"/>
    <w:rsid w:val="DEFFD1A5"/>
    <w:rsid w:val="DF6F1CB6"/>
    <w:rsid w:val="DFDF723F"/>
    <w:rsid w:val="DFEB3BB0"/>
    <w:rsid w:val="DFEF48A2"/>
    <w:rsid w:val="DFFF2E03"/>
    <w:rsid w:val="E3F3C1C8"/>
    <w:rsid w:val="E3F8C0FB"/>
    <w:rsid w:val="E3FB1DAA"/>
    <w:rsid w:val="E3FD02A9"/>
    <w:rsid w:val="E6FB8B43"/>
    <w:rsid w:val="E77FA993"/>
    <w:rsid w:val="E7EF129B"/>
    <w:rsid w:val="E7F7F3D3"/>
    <w:rsid w:val="E7FCD70D"/>
    <w:rsid w:val="E8D73DD5"/>
    <w:rsid w:val="E95E0349"/>
    <w:rsid w:val="E9FF383C"/>
    <w:rsid w:val="EA960152"/>
    <w:rsid w:val="EB5E9B03"/>
    <w:rsid w:val="EBBE400B"/>
    <w:rsid w:val="ECB7DF77"/>
    <w:rsid w:val="EDDB4D64"/>
    <w:rsid w:val="EDEFA00B"/>
    <w:rsid w:val="EE2FA277"/>
    <w:rsid w:val="EE6BFABB"/>
    <w:rsid w:val="EE7B1ED9"/>
    <w:rsid w:val="EFA66E86"/>
    <w:rsid w:val="EFD96E62"/>
    <w:rsid w:val="EFDFEE5D"/>
    <w:rsid w:val="EFED4B6B"/>
    <w:rsid w:val="EFFF294B"/>
    <w:rsid w:val="EFFF6675"/>
    <w:rsid w:val="F0FDA24B"/>
    <w:rsid w:val="F1FE04E4"/>
    <w:rsid w:val="F24BCEF0"/>
    <w:rsid w:val="F2F06D5B"/>
    <w:rsid w:val="F34F74CC"/>
    <w:rsid w:val="F35E1625"/>
    <w:rsid w:val="F3FF58F0"/>
    <w:rsid w:val="F4BDFC00"/>
    <w:rsid w:val="F4BE41FB"/>
    <w:rsid w:val="F55EAEAF"/>
    <w:rsid w:val="F57F8B4A"/>
    <w:rsid w:val="F5EFA8AC"/>
    <w:rsid w:val="F5F7D6EF"/>
    <w:rsid w:val="F5FA53B1"/>
    <w:rsid w:val="F5FFEBB6"/>
    <w:rsid w:val="F67F5BF4"/>
    <w:rsid w:val="F67F707A"/>
    <w:rsid w:val="F6ED401E"/>
    <w:rsid w:val="F72CEDEC"/>
    <w:rsid w:val="F75F6781"/>
    <w:rsid w:val="F7665213"/>
    <w:rsid w:val="F7FB208F"/>
    <w:rsid w:val="F7FE5B4E"/>
    <w:rsid w:val="F87B2C1D"/>
    <w:rsid w:val="F8E29A42"/>
    <w:rsid w:val="F8EE793F"/>
    <w:rsid w:val="F93E1020"/>
    <w:rsid w:val="F9BC4ABD"/>
    <w:rsid w:val="F9D303CF"/>
    <w:rsid w:val="FAE37C01"/>
    <w:rsid w:val="FAFFA51E"/>
    <w:rsid w:val="FB3338BE"/>
    <w:rsid w:val="FB3BD61C"/>
    <w:rsid w:val="FB6F15A2"/>
    <w:rsid w:val="FB779619"/>
    <w:rsid w:val="FB7F2C55"/>
    <w:rsid w:val="FB7FF02E"/>
    <w:rsid w:val="FBB7484E"/>
    <w:rsid w:val="FBBFD43D"/>
    <w:rsid w:val="FBE704B6"/>
    <w:rsid w:val="FBF5BA71"/>
    <w:rsid w:val="FBFE569E"/>
    <w:rsid w:val="FBFF3D91"/>
    <w:rsid w:val="FBFFD0D5"/>
    <w:rsid w:val="FC5FBA29"/>
    <w:rsid w:val="FC6D3BE7"/>
    <w:rsid w:val="FD5FFD6B"/>
    <w:rsid w:val="FDD72EAC"/>
    <w:rsid w:val="FDEE0DCF"/>
    <w:rsid w:val="FDFDB3B8"/>
    <w:rsid w:val="FDFE7D9E"/>
    <w:rsid w:val="FDFEEAC5"/>
    <w:rsid w:val="FE3FD11A"/>
    <w:rsid w:val="FE7F873A"/>
    <w:rsid w:val="FE9AE9E9"/>
    <w:rsid w:val="FEAEBE9D"/>
    <w:rsid w:val="FEBDC40F"/>
    <w:rsid w:val="FEBED15E"/>
    <w:rsid w:val="FEBF10BB"/>
    <w:rsid w:val="FEE777D6"/>
    <w:rsid w:val="FEEDDDDB"/>
    <w:rsid w:val="FEFA7167"/>
    <w:rsid w:val="FEFE36D5"/>
    <w:rsid w:val="FF19A3DD"/>
    <w:rsid w:val="FF1E2D74"/>
    <w:rsid w:val="FF78093A"/>
    <w:rsid w:val="FF7C625D"/>
    <w:rsid w:val="FF7F2CB8"/>
    <w:rsid w:val="FF9A62DC"/>
    <w:rsid w:val="FF9E5097"/>
    <w:rsid w:val="FFBAB4DB"/>
    <w:rsid w:val="FFBBB531"/>
    <w:rsid w:val="FFC752FC"/>
    <w:rsid w:val="FFD98F90"/>
    <w:rsid w:val="FFDAE0C6"/>
    <w:rsid w:val="FFEF068B"/>
    <w:rsid w:val="FFF32334"/>
    <w:rsid w:val="FFF7D270"/>
    <w:rsid w:val="FFF9FEAD"/>
    <w:rsid w:val="FFFD7D6F"/>
    <w:rsid w:val="FFFDE28E"/>
    <w:rsid w:val="FFFE9AB9"/>
    <w:rsid w:val="FFFEE7CB"/>
    <w:rsid w:val="FFFF13C2"/>
    <w:rsid w:val="FFFF35D2"/>
    <w:rsid w:val="FFFF411F"/>
    <w:rsid w:val="FFFFE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文星仿宋"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tabs>
        <w:tab w:val="left" w:pos="562"/>
        <w:tab w:val="left" w:pos="3372"/>
        <w:tab w:val="left" w:pos="3653"/>
      </w:tabs>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4042</Words>
  <Characters>4506</Characters>
  <Lines>0</Lines>
  <Paragraphs>0</Paragraphs>
  <TotalTime>64</TotalTime>
  <ScaleCrop>false</ScaleCrop>
  <LinksUpToDate>false</LinksUpToDate>
  <CharactersWithSpaces>4512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2022-08-10T01:03:00Z</dcterms:created>
  <dc:creator>禾禾</dc:creator>
  <cp:lastModifiedBy>姬艳丽</cp:lastModifiedBy>
  <cp:lastPrinted>2022-08-12T19:42:00Z</cp:lastPrinted>
  <dcterms:modified xsi:type="dcterms:W3CDTF">2025-03-26T03:32:04Z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216C91C4FA6A422999F4A01E3F22EB9A_13</vt:lpwstr>
  </property>
  <property fmtid="{D5CDD505-2E9C-101B-9397-08002B2CF9AE}" pid="4" name="KSOTemplateDocerSaveRecord">
    <vt:lpwstr>eyJoZGlkIjoiYzhjOTg1YTM1NDNjZTllMjg3ZThiYjM3ZjVmNjg5ZTgiLCJ1c2VySWQiOiIxNDQzNjAzNzU3In0=</vt:lpwstr>
  </property>
</Properties>
</file>