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95D19">
      <w:pPr>
        <w:widowControl/>
        <w:spacing w:line="560" w:lineRule="exact"/>
        <w:ind w:left="30" w:right="30" w:firstLine="862"/>
        <w:jc w:val="left"/>
        <w:rPr>
          <w:rFonts w:ascii="宋体" w:hAnsi="宋体" w:eastAsia="宋体" w:cs="宋体"/>
          <w:color w:val="auto"/>
          <w:kern w:val="0"/>
          <w:sz w:val="44"/>
          <w:szCs w:val="44"/>
          <w:lang w:bidi="ar"/>
        </w:rPr>
      </w:pPr>
    </w:p>
    <w:p w14:paraId="72EAE325">
      <w:pPr>
        <w:widowControl/>
        <w:spacing w:line="560" w:lineRule="exact"/>
        <w:jc w:val="center"/>
        <w:rPr>
          <w:rFonts w:ascii="方正小标宋简体" w:hAnsi="Calibri" w:eastAsia="方正小标宋简体" w:cs="Times New Roman"/>
          <w:color w:val="auto"/>
          <w:sz w:val="44"/>
          <w:szCs w:val="44"/>
        </w:rPr>
      </w:pPr>
      <w:r>
        <w:rPr>
          <w:rFonts w:hint="eastAsia" w:ascii="宋体" w:hAnsi="宋体" w:eastAsia="宋体" w:cs="Times New Roman"/>
          <w:color w:val="auto"/>
          <w:kern w:val="0"/>
          <w:sz w:val="44"/>
          <w:szCs w:val="44"/>
          <w:lang w:bidi="ar"/>
        </w:rPr>
        <w:t xml:space="preserve"> </w:t>
      </w:r>
      <w:r>
        <w:rPr>
          <w:rFonts w:hint="eastAsia" w:ascii="方正小标宋简体" w:hAnsi="Calibri" w:eastAsia="方正小标宋简体" w:cs="Times New Roman"/>
          <w:color w:val="auto"/>
          <w:sz w:val="44"/>
          <w:szCs w:val="44"/>
        </w:rPr>
        <w:t>202</w:t>
      </w:r>
      <w:r>
        <w:rPr>
          <w:rFonts w:hint="eastAsia" w:ascii="方正小标宋简体" w:hAnsi="Calibri" w:eastAsia="方正小标宋简体" w:cs="Times New Roman"/>
          <w:color w:val="auto"/>
          <w:sz w:val="44"/>
          <w:szCs w:val="44"/>
          <w:lang w:val="en-US" w:eastAsia="zh-CN"/>
        </w:rPr>
        <w:t>6</w:t>
      </w:r>
      <w:r>
        <w:rPr>
          <w:rFonts w:hint="eastAsia" w:ascii="方正小标宋简体" w:hAnsi="Calibri" w:eastAsia="方正小标宋简体" w:cs="Times New Roman"/>
          <w:color w:val="auto"/>
          <w:sz w:val="44"/>
          <w:szCs w:val="44"/>
        </w:rPr>
        <w:t>年</w:t>
      </w:r>
      <w:r>
        <w:rPr>
          <w:rFonts w:hint="eastAsia" w:ascii="方正小标宋简体" w:hAnsi="宋体" w:eastAsia="方正小标宋简体" w:cs="Times New Roman"/>
          <w:color w:val="auto"/>
          <w:kern w:val="0"/>
          <w:sz w:val="44"/>
          <w:szCs w:val="44"/>
          <w:lang w:bidi="ar"/>
        </w:rPr>
        <w:t>市工业和信息化局</w:t>
      </w:r>
      <w:r>
        <w:rPr>
          <w:rFonts w:hint="eastAsia" w:ascii="方正小标宋简体" w:hAnsi="Calibri" w:eastAsia="方正小标宋简体" w:cs="Times New Roman"/>
          <w:color w:val="auto"/>
          <w:sz w:val="44"/>
          <w:szCs w:val="44"/>
        </w:rPr>
        <w:t>软件产业高质量</w:t>
      </w:r>
    </w:p>
    <w:p w14:paraId="4CB4A674">
      <w:pPr>
        <w:widowControl/>
        <w:spacing w:line="560" w:lineRule="exact"/>
        <w:jc w:val="center"/>
        <w:rPr>
          <w:rFonts w:ascii="方正小标宋简体" w:hAnsi="宋体" w:eastAsia="方正小标宋简体" w:cs="Times New Roman"/>
          <w:color w:val="auto"/>
          <w:kern w:val="0"/>
          <w:sz w:val="44"/>
          <w:szCs w:val="44"/>
          <w:lang w:bidi="ar"/>
        </w:rPr>
      </w:pPr>
      <w:r>
        <w:rPr>
          <w:rFonts w:hint="eastAsia" w:ascii="方正小标宋简体" w:hAnsi="宋体" w:eastAsia="方正小标宋简体" w:cs="Times New Roman"/>
          <w:color w:val="auto"/>
          <w:kern w:val="0"/>
          <w:sz w:val="44"/>
          <w:szCs w:val="44"/>
          <w:lang w:bidi="ar"/>
        </w:rPr>
        <w:t>发展应用推广体系扶持计划重大开源</w:t>
      </w:r>
    </w:p>
    <w:p w14:paraId="695C25E6">
      <w:pPr>
        <w:widowControl/>
        <w:spacing w:line="560" w:lineRule="exact"/>
        <w:jc w:val="center"/>
        <w:rPr>
          <w:rFonts w:hint="eastAsia" w:ascii="方正小标宋简体" w:hAnsi="宋体" w:eastAsia="方正小标宋简体" w:cs="Times New Roman"/>
          <w:color w:val="auto"/>
          <w:kern w:val="0"/>
          <w:sz w:val="44"/>
          <w:szCs w:val="44"/>
          <w:lang w:bidi="ar"/>
        </w:rPr>
      </w:pPr>
      <w:r>
        <w:rPr>
          <w:rFonts w:hint="eastAsia" w:ascii="方正小标宋简体" w:hAnsi="宋体" w:eastAsia="方正小标宋简体" w:cs="Times New Roman"/>
          <w:color w:val="auto"/>
          <w:kern w:val="0"/>
          <w:sz w:val="44"/>
          <w:szCs w:val="44"/>
          <w:lang w:bidi="ar"/>
        </w:rPr>
        <w:t>项目商业发行版软件推广应用项目</w:t>
      </w:r>
    </w:p>
    <w:p w14:paraId="3B9B0894">
      <w:pPr>
        <w:widowControl/>
        <w:spacing w:line="560" w:lineRule="exact"/>
        <w:jc w:val="center"/>
        <w:rPr>
          <w:rFonts w:ascii="方正小标宋简体" w:hAnsi="Calibri" w:eastAsia="方正小标宋简体" w:cs="Times New Roman"/>
          <w:color w:val="auto"/>
          <w:sz w:val="44"/>
          <w:szCs w:val="44"/>
        </w:rPr>
      </w:pPr>
      <w:r>
        <w:rPr>
          <w:rFonts w:hint="eastAsia" w:ascii="方正小标宋简体" w:hAnsi="宋体" w:eastAsia="方正小标宋简体" w:cs="Times New Roman"/>
          <w:color w:val="auto"/>
          <w:kern w:val="0"/>
          <w:sz w:val="44"/>
          <w:szCs w:val="44"/>
          <w:lang w:bidi="ar"/>
        </w:rPr>
        <w:t>申请</w:t>
      </w:r>
      <w:r>
        <w:rPr>
          <w:rFonts w:hint="eastAsia" w:ascii="方正小标宋简体" w:hAnsi="Calibri" w:eastAsia="方正小标宋简体" w:cs="Times New Roman"/>
          <w:color w:val="auto"/>
          <w:sz w:val="44"/>
          <w:szCs w:val="44"/>
        </w:rPr>
        <w:t>指南</w:t>
      </w:r>
    </w:p>
    <w:p w14:paraId="7BBC7AA4">
      <w:pPr>
        <w:widowControl/>
        <w:spacing w:line="560" w:lineRule="exact"/>
        <w:ind w:left="0" w:right="30" w:firstLine="0" w:firstLineChars="0"/>
        <w:jc w:val="left"/>
        <w:rPr>
          <w:rFonts w:ascii="宋体" w:hAnsi="宋体" w:eastAsia="宋体" w:cs="Times New Roman"/>
          <w:color w:val="auto"/>
          <w:szCs w:val="22"/>
        </w:rPr>
      </w:pPr>
    </w:p>
    <w:p w14:paraId="56512724">
      <w:pPr>
        <w:keepNext/>
        <w:keepLines/>
        <w:widowControl w:val="0"/>
        <w:numPr>
          <w:ilvl w:val="255"/>
          <w:numId w:val="0"/>
        </w:numPr>
        <w:tabs>
          <w:tab w:val="left" w:pos="1418"/>
        </w:tabs>
        <w:spacing w:before="0" w:after="0" w:line="560" w:lineRule="exact"/>
        <w:ind w:left="464" w:leftChars="221"/>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一、资助的项目类别</w:t>
      </w:r>
    </w:p>
    <w:p w14:paraId="136869F0">
      <w:pPr>
        <w:widowControl w:val="0"/>
        <w:spacing w:after="120" w:line="560" w:lineRule="exact"/>
        <w:ind w:firstLine="640" w:firstLineChars="200"/>
        <w:jc w:val="both"/>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软件企业基于重大开源项目组织实施的，二次开发形成商业发行版软件产品（操作系统、数据库等）及服务并实现产业化销售的项目。</w:t>
      </w:r>
    </w:p>
    <w:p w14:paraId="0E75C78C">
      <w:pPr>
        <w:keepNext/>
        <w:keepLines/>
        <w:widowControl w:val="0"/>
        <w:numPr>
          <w:ilvl w:val="255"/>
          <w:numId w:val="0"/>
        </w:numPr>
        <w:tabs>
          <w:tab w:val="left" w:pos="1418"/>
        </w:tabs>
        <w:spacing w:before="0" w:after="0" w:line="560" w:lineRule="exact"/>
        <w:ind w:left="464" w:leftChars="221"/>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二、设定依据</w:t>
      </w:r>
    </w:p>
    <w:p w14:paraId="1FAA2EFF">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（一）《深圳市人民政府关于印发推动软件产业高质量发展的若干措施的通知》（深府规〔2022〕5号）；</w:t>
      </w:r>
    </w:p>
    <w:p w14:paraId="2D77E77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）《深圳市工业和信息化局软件产业高质量发展项目扶持计划操作规程》（深工信规〔2023〕9号）。</w:t>
      </w:r>
    </w:p>
    <w:p w14:paraId="0A313D7A">
      <w:pPr>
        <w:keepNext/>
        <w:keepLines/>
        <w:widowControl w:val="0"/>
        <w:numPr>
          <w:ilvl w:val="255"/>
          <w:numId w:val="0"/>
        </w:numPr>
        <w:tabs>
          <w:tab w:val="left" w:pos="1418"/>
        </w:tabs>
        <w:spacing w:before="0" w:after="0" w:line="560" w:lineRule="exact"/>
        <w:ind w:left="464" w:leftChars="221"/>
        <w:jc w:val="both"/>
        <w:outlineLvl w:val="1"/>
        <w:rPr>
          <w:rFonts w:hint="eastAsia"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三、资助的方式和标准以及费用范围</w:t>
      </w:r>
    </w:p>
    <w:p w14:paraId="52F4042D">
      <w:pPr>
        <w:spacing w:line="560" w:lineRule="exact"/>
        <w:ind w:firstLine="640" w:firstLineChars="20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（一）资助的方式和标准:</w:t>
      </w:r>
    </w:p>
    <w:p w14:paraId="4643D2AB">
      <w:pPr>
        <w:widowControl w:val="0"/>
        <w:spacing w:line="560" w:lineRule="exact"/>
        <w:ind w:firstLine="640" w:firstLineChars="200"/>
        <w:jc w:val="both"/>
        <w:outlineLvl w:val="0"/>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
        </w:rPr>
        <w:t>事后资助，对软件企业基于重大开源项目组织实施的，二次开发形成商业发行版软件产品（操作系统、数据库等）及服务并实现产业化销售的项目。</w:t>
      </w:r>
      <w:r>
        <w:rPr>
          <w:rFonts w:hint="eastAsia" w:ascii="仿宋_GB2312" w:hAnsi="Times New Roman" w:eastAsia="仿宋_GB2312" w:cs="Calibri"/>
          <w:color w:val="auto"/>
          <w:kern w:val="2"/>
          <w:sz w:val="32"/>
          <w:szCs w:val="32"/>
          <w:lang w:val="en-US" w:eastAsia="zh-CN" w:bidi="ar"/>
        </w:rPr>
        <w:t>项目资助标准为</w:t>
      </w:r>
      <w:r>
        <w:rPr>
          <w:rFonts w:hint="eastAsia" w:ascii="仿宋_GB2312" w:hAnsi="仿宋_GB2312" w:eastAsia="仿宋_GB2312" w:cs="仿宋_GB2312"/>
          <w:color w:val="auto"/>
          <w:kern w:val="0"/>
          <w:sz w:val="32"/>
          <w:szCs w:val="32"/>
          <w:lang w:val="en-US" w:eastAsia="zh-CN" w:bidi="ar"/>
        </w:rPr>
        <w:t>按照不超过申报指南发布前一年度（2024年1月1日至2024年12月31日）内上述商业发行版软件产品及服务审定销售额（实际到账额）的30%，给予软件企业最高1000万元资助。</w:t>
      </w:r>
    </w:p>
    <w:p w14:paraId="3BF668F1">
      <w:pPr>
        <w:autoSpaceDE w:val="0"/>
        <w:spacing w:line="560" w:lineRule="exact"/>
        <w:ind w:firstLine="640" w:firstLineChars="200"/>
        <w:contextualSpacing/>
        <w:outlineLvl w:val="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（二）资助的费用范围:</w:t>
      </w:r>
    </w:p>
    <w:p w14:paraId="28D60F3C">
      <w:pPr>
        <w:adjustRightInd/>
        <w:snapToGrid/>
        <w:spacing w:line="560" w:lineRule="exact"/>
        <w:ind w:firstLine="640" w:firstLineChars="200"/>
        <w:outlineLvl w:val="9"/>
        <w:rPr>
          <w:rFonts w:hint="eastAsia" w:ascii="仿宋_GB2312" w:hAnsi="仿宋_GB2312" w:eastAsia="仿宋_GB2312" w:cs="仿宋_GB2312"/>
          <w:color w:val="auto"/>
          <w:kern w:val="2"/>
          <w:sz w:val="32"/>
          <w:szCs w:val="32"/>
        </w:rPr>
      </w:pPr>
      <w:r>
        <w:rPr>
          <w:rFonts w:hint="eastAsia" w:ascii="仿宋_GB2312" w:hAnsi="Times New Roman" w:eastAsia="仿宋_GB2312" w:cs="Calibri"/>
          <w:color w:val="auto"/>
          <w:sz w:val="32"/>
          <w:szCs w:val="32"/>
        </w:rPr>
        <w:t>项目资助费用范围是</w:t>
      </w:r>
      <w:r>
        <w:rPr>
          <w:rFonts w:hint="eastAsia" w:ascii="仿宋_GB2312" w:hAnsi="仿宋_GB2312" w:eastAsia="仿宋_GB2312" w:cs="仿宋_GB2312"/>
          <w:color w:val="auto"/>
          <w:kern w:val="0"/>
          <w:sz w:val="32"/>
          <w:szCs w:val="32"/>
          <w:lang w:bidi="ar"/>
        </w:rPr>
        <w:t>申报指南发布前一年度</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2024年1月1日-2024年12月31日）</w:t>
      </w:r>
      <w:r>
        <w:rPr>
          <w:rFonts w:hint="eastAsia" w:ascii="仿宋_GB2312" w:hAnsi="仿宋_GB2312" w:eastAsia="仿宋_GB2312" w:cs="仿宋_GB2312"/>
          <w:color w:val="auto"/>
          <w:kern w:val="0"/>
          <w:sz w:val="32"/>
          <w:szCs w:val="32"/>
          <w:lang w:bidi="ar"/>
        </w:rPr>
        <w:t>内上述商业发行版软件产品及服务审定销售额（实际到账额）的30%。</w:t>
      </w:r>
      <w:r>
        <w:rPr>
          <w:rFonts w:hint="eastAsia" w:ascii="仿宋_GB2312" w:hAnsi="仿宋_GB2312" w:eastAsia="仿宋_GB2312" w:cs="仿宋_GB2312"/>
          <w:color w:val="auto"/>
          <w:sz w:val="32"/>
          <w:szCs w:val="32"/>
        </w:rPr>
        <w:t>其中，软件服务是指：系统管理及运维软件产品、软件定制开发及运维人力成本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rPr>
        <w:t>（实际资助的额度，受专项资金年度预算总额控制）</w:t>
      </w:r>
    </w:p>
    <w:p w14:paraId="3FDB9746">
      <w:pPr>
        <w:widowControl/>
        <w:numPr>
          <w:ilvl w:val="0"/>
          <w:numId w:val="1"/>
        </w:numPr>
        <w:spacing w:line="560" w:lineRule="exact"/>
        <w:ind w:firstLine="640" w:firstLineChars="200"/>
        <w:contextualSpacing/>
        <w:jc w:val="left"/>
        <w:outlineLvl w:val="0"/>
        <w:rPr>
          <w:rFonts w:ascii="黑体" w:hAnsi="黑体" w:eastAsia="黑体" w:cs="Times New Roman"/>
          <w:bCs/>
          <w:color w:val="auto"/>
          <w:sz w:val="32"/>
          <w:szCs w:val="32"/>
        </w:rPr>
      </w:pPr>
      <w:r>
        <w:rPr>
          <w:rFonts w:hint="eastAsia" w:ascii="黑体" w:hAnsi="黑体" w:eastAsia="黑体" w:cs="仿宋_GB2312"/>
          <w:bCs/>
          <w:color w:val="auto"/>
          <w:sz w:val="32"/>
          <w:szCs w:val="32"/>
        </w:rPr>
        <w:t>项目申报条件</w:t>
      </w:r>
    </w:p>
    <w:p w14:paraId="6CCFAAE7">
      <w:pPr>
        <w:wordWrap w:val="0"/>
        <w:autoSpaceDE w:val="0"/>
        <w:spacing w:line="560" w:lineRule="exact"/>
        <w:ind w:firstLine="640" w:firstLineChars="200"/>
        <w:contextualSpacing/>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r>
        <w:rPr>
          <w:rFonts w:hint="eastAsia" w:ascii="仿宋_GB2312" w:hAnsi="Calibri" w:eastAsia="仿宋_GB2312" w:cs="Times New Roman"/>
          <w:color w:val="auto"/>
          <w:sz w:val="32"/>
          <w:szCs w:val="32"/>
          <w:lang w:eastAsia="zh-CN"/>
        </w:rPr>
        <w:t>。</w:t>
      </w:r>
    </w:p>
    <w:p w14:paraId="472D7CF5">
      <w:pPr>
        <w:autoSpaceDE w:val="0"/>
        <w:spacing w:line="560" w:lineRule="exact"/>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基础条件：</w:t>
      </w:r>
    </w:p>
    <w:p w14:paraId="4B52F6E7">
      <w:pPr>
        <w:widowControl w:val="0"/>
        <w:numPr>
          <w:ilvl w:val="0"/>
          <w:numId w:val="2"/>
        </w:numPr>
        <w:spacing w:line="560" w:lineRule="exact"/>
        <w:ind w:firstLine="640" w:firstLineChars="200"/>
        <w:jc w:val="both"/>
        <w:rPr>
          <w:rFonts w:ascii="仿宋_GB2312" w:hAnsi="Times New Roman" w:eastAsia="仿宋_GB2312" w:cs="Calibri"/>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申报单位</w:t>
      </w:r>
      <w:r>
        <w:rPr>
          <w:rFonts w:hint="eastAsia" w:ascii="仿宋_GB2312" w:hAnsi="Times New Roman" w:eastAsia="仿宋_GB2312" w:cs="Calibri"/>
          <w:color w:val="auto"/>
          <w:kern w:val="2"/>
          <w:sz w:val="32"/>
          <w:szCs w:val="32"/>
          <w:lang w:val="en-US" w:eastAsia="zh-CN" w:bidi="ar"/>
        </w:rPr>
        <w:t>在深圳市内实际从事经营活动，具有独立法人资格的企业；</w:t>
      </w:r>
    </w:p>
    <w:p w14:paraId="646B0ED8">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（二）</w:t>
      </w:r>
      <w:r>
        <w:rPr>
          <w:rFonts w:hint="eastAsia" w:ascii="仿宋_GB2312" w:hAnsi="仿宋_GB2312" w:eastAsia="仿宋_GB2312" w:cs="仿宋_GB2312"/>
          <w:color w:val="auto"/>
          <w:sz w:val="32"/>
          <w:szCs w:val="32"/>
          <w:lang w:bidi="ar"/>
        </w:rPr>
        <w:t>申报单位</w:t>
      </w:r>
      <w:r>
        <w:rPr>
          <w:rFonts w:hint="eastAsia" w:ascii="仿宋_GB2312" w:hAnsi="宋体" w:eastAsia="仿宋_GB2312" w:cs="仿宋_GB2312"/>
          <w:color w:val="auto"/>
          <w:kern w:val="0"/>
          <w:sz w:val="32"/>
          <w:szCs w:val="32"/>
          <w:lang w:bidi="ar"/>
        </w:rPr>
        <w:t>未被列入严重失信主体名单</w:t>
      </w:r>
      <w:r>
        <w:rPr>
          <w:rFonts w:hint="eastAsia" w:ascii="仿宋_GB2312" w:hAnsi="仿宋_GB2312" w:eastAsia="仿宋_GB2312" w:cs="仿宋_GB2312"/>
          <w:color w:val="auto"/>
          <w:sz w:val="32"/>
          <w:szCs w:val="32"/>
          <w:lang w:bidi="ar"/>
        </w:rPr>
        <w:t>；</w:t>
      </w:r>
    </w:p>
    <w:p w14:paraId="55A45CA7">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（三）项目实施地在深圳；</w:t>
      </w:r>
    </w:p>
    <w:p w14:paraId="6533138D">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（四）申报单位提交的营业收入等经营指标数据，与报送市统计部门的数据一致或在允许的误差范围内；</w:t>
      </w:r>
    </w:p>
    <w:p w14:paraId="5EAF4F54">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（五）不存在就同一建设内容相同或部分内容相同的项目向市有关部门进行多头申报的情形；</w:t>
      </w:r>
    </w:p>
    <w:p w14:paraId="46923D79">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（六）资助项目不属于政府投资建设或购买服务的项目；</w:t>
      </w:r>
    </w:p>
    <w:p w14:paraId="01D26C66">
      <w:pPr>
        <w:adjustRightInd w:val="0"/>
        <w:snapToGrid w:val="0"/>
        <w:spacing w:line="560" w:lineRule="exact"/>
        <w:ind w:firstLine="640" w:firstLineChars="200"/>
        <w:rPr>
          <w:rFonts w:ascii="仿宋_GB2312" w:hAnsi="Calibri" w:eastAsia="仿宋_GB2312" w:cs="仿宋_GB2312"/>
          <w:b/>
          <w:color w:val="auto"/>
          <w:sz w:val="32"/>
          <w:szCs w:val="32"/>
        </w:rPr>
      </w:pPr>
      <w:r>
        <w:rPr>
          <w:rFonts w:hint="eastAsia" w:ascii="仿宋_GB2312" w:hAnsi="宋体" w:eastAsia="仿宋_GB2312" w:cs="仿宋_GB2312"/>
          <w:color w:val="auto"/>
          <w:kern w:val="0"/>
          <w:sz w:val="32"/>
          <w:szCs w:val="32"/>
          <w:lang w:bidi="ar"/>
        </w:rPr>
        <w:t>（七）法律、法规、规章和上级行政机关规范性文件规定的其他条件；</w:t>
      </w:r>
    </w:p>
    <w:p w14:paraId="3097E056">
      <w:pPr>
        <w:adjustRightInd w:val="0"/>
        <w:snapToGrid w:val="0"/>
        <w:spacing w:line="560" w:lineRule="exact"/>
        <w:ind w:firstLine="640" w:firstLineChars="200"/>
        <w:outlineLvl w:val="0"/>
        <w:rPr>
          <w:rFonts w:hint="eastAsia" w:ascii="仿宋_GB2312" w:hAnsi="Calibri"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bidi="ar"/>
        </w:rPr>
        <w:t>（八）申报单位为软件企业，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r>
        <w:rPr>
          <w:rFonts w:hint="eastAsia" w:ascii="仿宋_GB2312" w:hAnsi="仿宋_GB2312" w:eastAsia="仿宋_GB2312" w:cs="仿宋_GB2312"/>
          <w:color w:val="auto"/>
          <w:sz w:val="32"/>
          <w:szCs w:val="32"/>
          <w:highlight w:val="none"/>
          <w:lang w:eastAsia="zh-CN" w:bidi="ar"/>
        </w:rPr>
        <w:t>。</w:t>
      </w:r>
    </w:p>
    <w:p w14:paraId="6478DA62">
      <w:pPr>
        <w:autoSpaceDE w:val="0"/>
        <w:spacing w:line="560" w:lineRule="exact"/>
        <w:ind w:firstLine="643" w:firstLineChars="200"/>
        <w:outlineLvl w:val="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专项条件：</w:t>
      </w:r>
    </w:p>
    <w:p w14:paraId="6959D39D">
      <w:pPr>
        <w:widowControl w:val="0"/>
        <w:spacing w:after="120" w:line="560" w:lineRule="exact"/>
        <w:ind w:firstLine="640" w:firstLineChars="200"/>
        <w:jc w:val="both"/>
        <w:rPr>
          <w:rFonts w:hint="eastAsia" w:ascii="Times New Roman" w:hAnsi="Times New Roman" w:eastAsia="仿宋_GB2312" w:cs="Times New Roman"/>
          <w:kern w:val="2"/>
          <w:sz w:val="32"/>
          <w:szCs w:val="22"/>
          <w:lang w:val="en-US" w:eastAsia="zh-CN" w:bidi="ar-SA"/>
        </w:rPr>
      </w:pPr>
      <w:r>
        <w:rPr>
          <w:rFonts w:hint="eastAsia" w:ascii="仿宋_GB2312" w:hAnsi="仿宋_GB2312" w:eastAsia="仿宋_GB2312" w:cs="仿宋_GB2312"/>
          <w:color w:val="auto"/>
          <w:kern w:val="2"/>
          <w:sz w:val="32"/>
          <w:szCs w:val="32"/>
          <w:lang w:val="en-US" w:eastAsia="zh-CN" w:bidi="ar-SA"/>
        </w:rPr>
        <w:t>（一）重大开源项目是指深圳企业及其子公司捐赠的、开放原子开源基金会名单内的开源项目，开源项目为开源终端操作系统的需应用规模超过3亿台；开源项目为开源服务器操作系统的，开源项目捐赠企业在Linux Kernel社区近一年各内核版本中均进入修改集合排行榜；其他的重大开源项目，需经市政府审议批准。</w:t>
      </w:r>
    </w:p>
    <w:p w14:paraId="365EB091">
      <w:pPr>
        <w:spacing w:line="560" w:lineRule="exact"/>
        <w:ind w:firstLine="640" w:firstLineChars="200"/>
        <w:outlineLvl w:val="0"/>
        <w:rPr>
          <w:rFonts w:ascii="仿宋_GB2312" w:hAnsi="仿宋_GB2312" w:eastAsia="仿宋_GB2312" w:cs="仿宋_GB2312"/>
          <w:color w:val="auto"/>
          <w:sz w:val="32"/>
          <w:szCs w:val="32"/>
        </w:rPr>
      </w:pPr>
      <w:bookmarkStart w:id="0" w:name="_Hlk144913575"/>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）申报项目应基于重大开源项目二次开发，并获得重大开源项目开源社区的认证；</w:t>
      </w:r>
    </w:p>
    <w:bookmarkEnd w:id="0"/>
    <w:p w14:paraId="4CC2240E">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）申报项目在申报指南发布前一年度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内销售额不低于500万元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且申报项目版本号为单一版本号。</w:t>
      </w:r>
    </w:p>
    <w:p w14:paraId="7A289705">
      <w:pPr>
        <w:autoSpaceDE w:val="0"/>
        <w:spacing w:line="56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五、项目申请时间</w:t>
      </w:r>
    </w:p>
    <w:p w14:paraId="5D4BCECB">
      <w:pPr>
        <w:autoSpaceDE w:val="0"/>
        <w:adjustRightInd w:val="0"/>
        <w:snapToGrid w:val="0"/>
        <w:spacing w:beforeLines="0" w:afterLines="0" w:line="560" w:lineRule="exact"/>
        <w:ind w:firstLine="960" w:firstLineChars="300"/>
        <w:outlineLvl w:val="0"/>
        <w:rPr>
          <w:rFonts w:hint="eastAsia" w:ascii="仿宋_GB2312" w:hAnsi="宋体" w:eastAsia="仿宋_GB2312" w:cs="Times New Roman"/>
          <w:color w:val="FF0000"/>
          <w:sz w:val="32"/>
          <w:szCs w:val="32"/>
        </w:rPr>
      </w:pPr>
      <w:bookmarkStart w:id="1" w:name="OLE_LINK1"/>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28</w:t>
      </w:r>
      <w:r>
        <w:rPr>
          <w:rFonts w:hint="eastAsia" w:ascii="仿宋_GB2312" w:hAnsi="宋体" w:eastAsia="仿宋_GB2312" w:cs="Times New Roman"/>
          <w:color w:val="auto"/>
          <w:sz w:val="32"/>
          <w:szCs w:val="32"/>
        </w:rPr>
        <w:t>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14:paraId="732C0DFE">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lang w:eastAsia="zh-CN"/>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w:t>
      </w:r>
      <w:r>
        <w:rPr>
          <w:rFonts w:hint="eastAsia" w:ascii="仿宋_GB2312" w:hAnsi="宋体" w:eastAsia="仿宋_GB2312" w:cs="Times New Roman"/>
          <w:color w:val="FF0000"/>
          <w:sz w:val="32"/>
          <w:szCs w:val="32"/>
          <w:lang w:eastAsia="zh-CN"/>
        </w:rPr>
        <w:t>）</w:t>
      </w:r>
    </w:p>
    <w:p w14:paraId="531CD808">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14:paraId="734F4131">
      <w:pPr>
        <w:autoSpaceDE w:val="0"/>
        <w:adjustRightInd w:val="0"/>
        <w:snapToGrid w:val="0"/>
        <w:spacing w:beforeLines="0" w:afterLines="0" w:line="560" w:lineRule="exact"/>
        <w:ind w:firstLine="320" w:firstLineChars="100"/>
        <w:outlineLvl w:val="0"/>
        <w:rPr>
          <w:rFonts w:hint="eastAsia" w:ascii="Calibri"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hAnsi="Calibri" w:eastAsia="仿宋_GB2312" w:cs="Times New Roman"/>
          <w:color w:val="FF0000"/>
          <w:sz w:val="32"/>
          <w:szCs w:val="32"/>
        </w:rPr>
        <w:t>）</w:t>
      </w:r>
      <w:bookmarkStart w:id="2" w:name="_GoBack"/>
      <w:bookmarkEnd w:id="2"/>
    </w:p>
    <w:bookmarkEnd w:id="1"/>
    <w:p w14:paraId="4CCFD532">
      <w:pPr>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六</w:t>
      </w:r>
      <w:r>
        <w:rPr>
          <w:rFonts w:hint="eastAsia" w:ascii="黑体" w:hAnsi="黑体" w:eastAsia="黑体" w:cs="Times New Roman"/>
          <w:bCs/>
          <w:color w:val="auto"/>
          <w:sz w:val="32"/>
          <w:szCs w:val="32"/>
        </w:rPr>
        <w:t>、</w:t>
      </w:r>
      <w:r>
        <w:rPr>
          <w:rFonts w:hint="eastAsia" w:ascii="黑体" w:hAnsi="黑体" w:eastAsia="黑体" w:cs="仿宋_GB2312"/>
          <w:bCs/>
          <w:color w:val="auto"/>
          <w:sz w:val="32"/>
          <w:szCs w:val="32"/>
        </w:rPr>
        <w:t>核准流程</w:t>
      </w:r>
    </w:p>
    <w:p w14:paraId="2FBBE379">
      <w:pPr>
        <w:adjustRightInd w:val="0"/>
        <w:snapToGrid w:val="0"/>
        <w:spacing w:beforeLines="0" w:afterLines="0" w:line="560" w:lineRule="exact"/>
        <w:ind w:firstLine="640" w:firstLineChars="200"/>
        <w:rPr>
          <w:rFonts w:ascii="宋体" w:hAnsi="宋体" w:eastAsia="宋体" w:cs="Times New Roman"/>
          <w:color w:val="auto"/>
          <w:szCs w:val="32"/>
        </w:rPr>
      </w:pP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auto"/>
          <w:sz w:val="32"/>
          <w:szCs w:val="32"/>
          <w:highlight w:val="none"/>
        </w:rPr>
        <w:t>——材料初审——专家评审、专项审计、现场</w:t>
      </w:r>
      <w:r>
        <w:rPr>
          <w:rFonts w:hint="eastAsia" w:ascii="仿宋_GB2312" w:hAnsi="仿宋_GB2312" w:eastAsia="仿宋_GB2312" w:cs="仿宋_GB2312"/>
          <w:color w:val="auto"/>
          <w:sz w:val="32"/>
          <w:szCs w:val="32"/>
          <w:highlight w:val="none"/>
          <w:lang w:eastAsia="zh-CN"/>
        </w:rPr>
        <w:t>核查</w:t>
      </w:r>
      <w:r>
        <w:rPr>
          <w:rFonts w:hint="eastAsia" w:ascii="仿宋_GB2312" w:hAnsi="仿宋_GB2312" w:eastAsia="仿宋_GB2312" w:cs="仿宋_GB2312"/>
          <w:color w:val="auto"/>
          <w:sz w:val="32"/>
          <w:szCs w:val="32"/>
          <w:highlight w:val="none"/>
        </w:rPr>
        <w:t>（抽查）、查重等环节——拟定扶持计划--社会公示--下达项目扶持计划--申报单位提交拨付资金资料--市工业和信息化局拨付资金。</w:t>
      </w:r>
    </w:p>
    <w:p w14:paraId="4306B9FD"/>
    <w:sectPr>
      <w:footerReference r:id="rId3" w:type="default"/>
      <w:pgSz w:w="11906" w:h="16838"/>
      <w:pgMar w:top="1440" w:right="1803" w:bottom="144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F7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49EC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7749EC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47FA9"/>
    <w:multiLevelType w:val="singleLevel"/>
    <w:tmpl w:val="33E47FA9"/>
    <w:lvl w:ilvl="0" w:tentative="0">
      <w:start w:val="4"/>
      <w:numFmt w:val="chineseCounting"/>
      <w:suff w:val="nothing"/>
      <w:lvlText w:val="%1、"/>
      <w:lvlJc w:val="left"/>
      <w:rPr>
        <w:rFonts w:hint="eastAsia"/>
      </w:rPr>
    </w:lvl>
  </w:abstractNum>
  <w:abstractNum w:abstractNumId="1">
    <w:nsid w:val="6AAE96EF"/>
    <w:multiLevelType w:val="singleLevel"/>
    <w:tmpl w:val="6AAE96EF"/>
    <w:lvl w:ilvl="0" w:tentative="0">
      <w:start w:val="1"/>
      <w:numFmt w:val="chineseCounting"/>
      <w:suff w:val="nothing"/>
      <w:lvlText w:val="（%1）"/>
      <w:lvlJc w:val="left"/>
      <w:rPr>
        <w:rFonts w:hint="eastAsia" w:eastAsia="仿宋_GB2312"/>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02B48"/>
    <w:rsid w:val="0E003427"/>
    <w:rsid w:val="31A9698E"/>
    <w:rsid w:val="33D56A90"/>
    <w:rsid w:val="44702D47"/>
    <w:rsid w:val="69484F51"/>
    <w:rsid w:val="704A06EC"/>
    <w:rsid w:val="77ED647D"/>
    <w:rsid w:val="7C40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3535</Words>
  <Characters>3779</Characters>
  <Lines>0</Lines>
  <Paragraphs>0</Paragraphs>
  <TotalTime>1</TotalTime>
  <ScaleCrop>false</ScaleCrop>
  <LinksUpToDate>false</LinksUpToDate>
  <CharactersWithSpaces>3790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2025-04-14T07:10:00Z</dcterms:created>
  <dc:creator>立炜</dc:creator>
  <cp:lastModifiedBy>姬艳丽</cp:lastModifiedBy>
  <dcterms:modified xsi:type="dcterms:W3CDTF">2025-04-23T03:21:08Z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eyJoZGlkIjoiYzhjOTg1YTM1NDNjZTllMjg3ZThiYjM3ZjVmNjg5ZTgiLCJ1c2VySWQiOiIxNDQzNjAzNzU3In0=</vt:lpwstr>
  </property>
  <property fmtid="{D5CDD505-2E9C-101B-9397-08002B2CF9AE}" pid="4" name="ICV">
    <vt:lpwstr>3E1673743E8C4A07AB30963346BEFB5C_13</vt:lpwstr>
  </property>
</Properties>
</file>