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4F17D">
      <w:pPr>
        <w:widowControl w:val="0"/>
        <w:kinsoku/>
        <w:autoSpaceDE/>
        <w:autoSpaceDN/>
        <w:adjustRightInd/>
        <w:snapToGrid/>
        <w:spacing w:line="560" w:lineRule="exact"/>
        <w:jc w:val="both"/>
        <w:textAlignment w:val="auto"/>
        <w:outlineLvl w:val="0"/>
        <w:rPr>
          <w:rFonts w:hint="eastAsia" w:ascii="Times New Roman" w:hAnsi="Times New Roman" w:eastAsia="黑体" w:cs="Times New Roman"/>
          <w:snapToGrid/>
          <w:kern w:val="2"/>
          <w:sz w:val="32"/>
          <w:szCs w:val="32"/>
          <w:lang w:val="en-US" w:eastAsia="zh-CN"/>
        </w:rPr>
      </w:pPr>
      <w:r>
        <w:rPr>
          <w:rFonts w:hint="eastAsia" w:ascii="黑体" w:hAnsi="黑体" w:eastAsia="黑体" w:cs="黑体"/>
          <w:snapToGrid/>
          <w:kern w:val="2"/>
          <w:sz w:val="32"/>
          <w:szCs w:val="32"/>
          <w:lang w:val="en-US" w:eastAsia="zh-CN"/>
        </w:rPr>
        <w:t>附件1</w:t>
      </w:r>
    </w:p>
    <w:p w14:paraId="091A74D7">
      <w:pPr>
        <w:pStyle w:val="2"/>
        <w:spacing w:line="560" w:lineRule="exact"/>
        <w:rPr>
          <w:rFonts w:hint="default"/>
          <w:lang w:val="en-US" w:eastAsia="zh-CN"/>
        </w:rPr>
      </w:pPr>
    </w:p>
    <w:p w14:paraId="325821B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snapToGrid/>
          <w:color w:val="auto"/>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snapToGrid/>
          <w:color w:val="auto"/>
          <w:spacing w:val="0"/>
          <w:kern w:val="44"/>
          <w:sz w:val="44"/>
          <w:szCs w:val="44"/>
          <w:shd w:val="clear" w:fill="FFFFFF"/>
          <w:lang w:val="en-US" w:eastAsia="zh-CN" w:bidi="ar"/>
        </w:rPr>
        <w:t>广东省工业和信息化厅关于组织开展重点化工新材料创新任务揭榜挂帅工作的通知</w:t>
      </w:r>
    </w:p>
    <w:p w14:paraId="31FA41E2">
      <w:pPr>
        <w:pStyle w:val="2"/>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粤工信材料函〔2025〕23号</w:t>
      </w:r>
    </w:p>
    <w:p w14:paraId="360F430D">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val="0"/>
          <w:bCs w:val="0"/>
          <w:i w:val="0"/>
          <w:iCs w:val="0"/>
          <w:caps w:val="0"/>
          <w:snapToGrid/>
          <w:color w:val="auto"/>
          <w:spacing w:val="0"/>
          <w:kern w:val="44"/>
          <w:sz w:val="44"/>
          <w:szCs w:val="44"/>
          <w:shd w:val="clear" w:fill="FFFFFF"/>
          <w:lang w:val="en-US" w:eastAsia="zh-CN" w:bidi="ar"/>
        </w:rPr>
      </w:pPr>
    </w:p>
    <w:p w14:paraId="5F61892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 xml:space="preserve">各地级以上市工业和信息化主管部门，有关行业协会，有关企业： </w:t>
      </w:r>
    </w:p>
    <w:p w14:paraId="16615F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为进一步支撑我省加快建设制造强省，满足电子信息、汽车（装备）、家电、纺织等重点下游领域对化工新材料日益增长的需求，推进我省绿色石化产业延链补链强链，我厅组织开展重点化工新材料创新任务揭榜挂帅（第一批）工作，有关事项通知如下。</w:t>
      </w:r>
    </w:p>
    <w:p w14:paraId="363912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snapToGrid/>
          <w:color w:val="auto"/>
          <w:spacing w:val="0"/>
          <w:kern w:val="44"/>
          <w:sz w:val="32"/>
          <w:szCs w:val="32"/>
          <w:shd w:val="clear" w:fill="FFFFFF"/>
          <w:lang w:val="en-US" w:eastAsia="zh-CN" w:bidi="ar"/>
        </w:rPr>
      </w:pPr>
      <w:r>
        <w:rPr>
          <w:rFonts w:hint="eastAsia" w:ascii="黑体" w:hAnsi="黑体" w:eastAsia="黑体" w:cs="黑体"/>
          <w:b w:val="0"/>
          <w:bCs w:val="0"/>
          <w:i w:val="0"/>
          <w:iCs w:val="0"/>
          <w:caps w:val="0"/>
          <w:snapToGrid/>
          <w:color w:val="auto"/>
          <w:spacing w:val="0"/>
          <w:kern w:val="44"/>
          <w:sz w:val="32"/>
          <w:szCs w:val="32"/>
          <w:shd w:val="clear" w:fill="FFFFFF"/>
          <w:lang w:val="en-US" w:eastAsia="zh-CN" w:bidi="ar"/>
        </w:rPr>
        <w:t>一、任务内容和预期目标</w:t>
      </w:r>
    </w:p>
    <w:p w14:paraId="5ED6BB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重点化工新材料创新任务揭榜挂帅（第一批）工作聚焦高端聚烯烃、合成树脂与工程塑料、电子化学品、高性能膜材料、特种涂料等重点方向，征集遴选一批电子信息、汽车（装备）、家电、纺织等下游领域需求明确、上游领域研发基础较好的化工新 材料产业化集中创新，重点突破一批国内急需、市场份额大且价值效益高、有一定科研成果基础的重点化工新材料，材料性能符合下游领域应用要求、形成稳定可靠的规模化生产能力，加速在下游领域实现落地应用。</w:t>
      </w:r>
    </w:p>
    <w:p w14:paraId="0C18B0D8">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7"/>
          <w:sz w:val="32"/>
          <w:szCs w:val="32"/>
        </w:rPr>
        <w:t>（一）电子信息领域</w:t>
      </w:r>
    </w:p>
    <w:p w14:paraId="460CE29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spacing w:val="2"/>
          <w:sz w:val="32"/>
          <w:szCs w:val="32"/>
        </w:rPr>
        <w:t>用于光学透镜、手机装饰件、手机闪光灯罩、电子电气连接</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3"/>
          <w:sz w:val="32"/>
          <w:szCs w:val="32"/>
        </w:rPr>
        <w:t>器、新型显示模组封装、集成电路制造等方面的化工新材料，包括环状烯烃共聚物（</w:t>
      </w:r>
      <w:r>
        <w:rPr>
          <w:rFonts w:hint="eastAsia" w:ascii="仿宋_GB2312" w:hAnsi="仿宋_GB2312" w:eastAsia="仿宋_GB2312" w:cs="仿宋_GB2312"/>
          <w:sz w:val="32"/>
          <w:szCs w:val="32"/>
        </w:rPr>
        <w:t>COC</w:t>
      </w:r>
      <w:r>
        <w:rPr>
          <w:rFonts w:hint="eastAsia" w:ascii="仿宋_GB2312" w:hAnsi="仿宋_GB2312" w:eastAsia="仿宋_GB2312" w:cs="仿宋_GB2312"/>
          <w:spacing w:val="3"/>
          <w:sz w:val="32"/>
          <w:szCs w:val="32"/>
        </w:rPr>
        <w:t>）、生物基特种聚酰胺、光学级聚</w:t>
      </w:r>
      <w:r>
        <w:rPr>
          <w:rFonts w:hint="eastAsia" w:ascii="仿宋_GB2312" w:hAnsi="仿宋_GB2312" w:eastAsia="仿宋_GB2312" w:cs="仿宋_GB2312"/>
          <w:spacing w:val="2"/>
          <w:sz w:val="32"/>
          <w:szCs w:val="32"/>
        </w:rPr>
        <w:t>甲基</w:t>
      </w:r>
      <w:r>
        <w:rPr>
          <w:rFonts w:hint="eastAsia" w:ascii="仿宋_GB2312" w:hAnsi="仿宋_GB2312" w:eastAsia="仿宋_GB2312" w:cs="仿宋_GB2312"/>
          <w:sz w:val="32"/>
          <w:szCs w:val="32"/>
        </w:rPr>
        <w:t>丙烯酸甲酯（PMMA）、光学级聚碳酸酯（PC）、热塑性聚酰亚</w:t>
      </w:r>
      <w:r>
        <w:rPr>
          <w:rFonts w:hint="eastAsia" w:ascii="仿宋_GB2312" w:hAnsi="仿宋_GB2312" w:eastAsia="仿宋_GB2312" w:cs="仿宋_GB2312"/>
          <w:spacing w:val="-5"/>
          <w:sz w:val="32"/>
          <w:szCs w:val="32"/>
        </w:rPr>
        <w:t>胺（TPI）、特种聚酰亚胺（PI）薄膜、</w:t>
      </w:r>
      <w:r>
        <w:rPr>
          <w:rFonts w:hint="eastAsia" w:ascii="仿宋_GB2312" w:hAnsi="仿宋_GB2312" w:eastAsia="仿宋_GB2312" w:cs="仿宋_GB2312"/>
          <w:spacing w:val="-6"/>
          <w:sz w:val="32"/>
          <w:szCs w:val="32"/>
        </w:rPr>
        <w:t>液晶聚合物（LCP）薄膜、</w:t>
      </w:r>
      <w:r>
        <w:rPr>
          <w:rFonts w:hint="eastAsia" w:ascii="仿宋_GB2312" w:hAnsi="仿宋_GB2312" w:eastAsia="仿宋_GB2312" w:cs="仿宋_GB2312"/>
          <w:sz w:val="32"/>
          <w:szCs w:val="32"/>
        </w:rPr>
        <w:t xml:space="preserve"> ArF光刻胶及其配套原料（单体、</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z w:val="32"/>
          <w:szCs w:val="32"/>
        </w:rPr>
        <w:t>光致产酸剂、光敏剂、稀释剂</w:t>
      </w:r>
      <w:r>
        <w:rPr>
          <w:rFonts w:hint="eastAsia" w:ascii="仿宋_GB2312" w:hAnsi="仿宋_GB2312" w:eastAsia="仿宋_GB2312" w:cs="仿宋_GB2312"/>
          <w:spacing w:val="-12"/>
          <w:sz w:val="32"/>
          <w:szCs w:val="32"/>
        </w:rPr>
        <w:t>等）、高纯全氟丁二烯（C</w:t>
      </w:r>
      <w:r>
        <w:rPr>
          <w:rFonts w:hint="eastAsia" w:ascii="仿宋_GB2312" w:hAnsi="仿宋_GB2312" w:eastAsia="仿宋_GB2312" w:cs="仿宋_GB2312"/>
          <w:spacing w:val="-12"/>
          <w:position w:val="-4"/>
          <w:sz w:val="32"/>
          <w:szCs w:val="32"/>
        </w:rPr>
        <w:t>4</w:t>
      </w:r>
      <w:r>
        <w:rPr>
          <w:rFonts w:hint="eastAsia" w:ascii="仿宋_GB2312" w:hAnsi="仿宋_GB2312" w:eastAsia="仿宋_GB2312" w:cs="仿宋_GB2312"/>
          <w:spacing w:val="-12"/>
          <w:sz w:val="32"/>
          <w:szCs w:val="32"/>
        </w:rPr>
        <w:t>F</w:t>
      </w:r>
      <w:r>
        <w:rPr>
          <w:rFonts w:hint="eastAsia" w:ascii="仿宋_GB2312" w:hAnsi="仿宋_GB2312" w:eastAsia="仿宋_GB2312" w:cs="仿宋_GB2312"/>
          <w:spacing w:val="-12"/>
          <w:position w:val="-4"/>
          <w:sz w:val="32"/>
          <w:szCs w:val="32"/>
        </w:rPr>
        <w:t>6</w:t>
      </w:r>
      <w:r>
        <w:rPr>
          <w:rFonts w:hint="eastAsia" w:ascii="仿宋_GB2312" w:hAnsi="仿宋_GB2312" w:eastAsia="仿宋_GB2312" w:cs="仿宋_GB2312"/>
          <w:spacing w:val="-12"/>
          <w:sz w:val="32"/>
          <w:szCs w:val="32"/>
        </w:rPr>
        <w:t>）、高纯溴化氢（HBr）、电子级功能</w:t>
      </w:r>
      <w:r>
        <w:rPr>
          <w:rFonts w:hint="eastAsia" w:ascii="仿宋_GB2312" w:hAnsi="仿宋_GB2312" w:eastAsia="仿宋_GB2312" w:cs="仿宋_GB2312"/>
          <w:spacing w:val="-2"/>
          <w:sz w:val="32"/>
          <w:szCs w:val="32"/>
        </w:rPr>
        <w:t>膜材基材</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2"/>
          <w:sz w:val="32"/>
          <w:szCs w:val="32"/>
        </w:rPr>
        <w:t>PET</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2"/>
          <w:sz w:val="32"/>
          <w:szCs w:val="32"/>
        </w:rPr>
        <w:t>、硬碳、高纯双氟磺酰亚胺锂（LiFSI）、功能型本</w:t>
      </w:r>
      <w:r>
        <w:rPr>
          <w:rFonts w:hint="eastAsia" w:ascii="仿宋_GB2312" w:hAnsi="仿宋_GB2312" w:eastAsia="仿宋_GB2312" w:cs="仿宋_GB2312"/>
          <w:spacing w:val="7"/>
          <w:sz w:val="32"/>
          <w:szCs w:val="32"/>
        </w:rPr>
        <w:t>征导电聚合物材料等，着力提升相关化工新材料</w:t>
      </w:r>
      <w:r>
        <w:rPr>
          <w:rFonts w:hint="eastAsia" w:ascii="仿宋_GB2312" w:hAnsi="仿宋_GB2312" w:eastAsia="仿宋_GB2312" w:cs="仿宋_GB2312"/>
          <w:spacing w:val="6"/>
          <w:sz w:val="32"/>
          <w:szCs w:val="32"/>
        </w:rPr>
        <w:t>的加工稳定性、</w:t>
      </w:r>
      <w:r>
        <w:rPr>
          <w:rFonts w:hint="eastAsia" w:ascii="仿宋_GB2312" w:hAnsi="仿宋_GB2312" w:eastAsia="仿宋_GB2312" w:cs="仿宋_GB2312"/>
          <w:spacing w:val="5"/>
          <w:sz w:val="32"/>
          <w:szCs w:val="32"/>
        </w:rPr>
        <w:t>光学性能、绝缘性能、高纯度、高精度、高均匀性</w:t>
      </w: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等特殊性能。</w:t>
      </w:r>
    </w:p>
    <w:p w14:paraId="372E2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楷体_GB2312" w:hAnsi="楷体_GB2312" w:eastAsia="楷体_GB2312" w:cs="楷体_GB2312"/>
          <w:snapToGrid w:val="0"/>
          <w:color w:val="000000"/>
          <w:spacing w:val="7"/>
          <w:kern w:val="0"/>
          <w:sz w:val="32"/>
          <w:szCs w:val="32"/>
          <w:lang w:val="en-US" w:eastAsia="en-US" w:bidi="ar-SA"/>
        </w:rPr>
      </w:pPr>
      <w:r>
        <w:rPr>
          <w:rFonts w:hint="eastAsia" w:ascii="楷体_GB2312" w:hAnsi="楷体_GB2312" w:eastAsia="楷体_GB2312" w:cs="楷体_GB2312"/>
          <w:snapToGrid w:val="0"/>
          <w:color w:val="000000"/>
          <w:spacing w:val="7"/>
          <w:kern w:val="0"/>
          <w:sz w:val="32"/>
          <w:szCs w:val="32"/>
          <w:lang w:val="en-US" w:eastAsia="en-US" w:bidi="ar-SA"/>
        </w:rPr>
        <w:t>（二）汽车（装备）领域</w:t>
      </w:r>
    </w:p>
    <w:p w14:paraId="165CA6C1">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snapToGrid w:val="0"/>
          <w:color w:val="000000"/>
          <w:kern w:val="0"/>
          <w:sz w:val="32"/>
          <w:szCs w:val="32"/>
          <w:lang w:val="en-US" w:eastAsia="en-US" w:bidi="ar-SA"/>
        </w:rPr>
        <w:t>用于汽车车体涂装、安全气囊盖板、前灯尾灯面罩、热电管理系统、汽车内外饰等方面的化工新材料，包括聚烯烃热塑性弹性体（TPO）、高端聚烯烃（POE）、光学级聚甲基丙烯酸甲酯（PMMA）、光学级聚碳酸酯（PC）、聚苯硫醚（PPS）、无定型聚芳醚酮（PAEK）、聚醚醚酮（PEEK）、生物基特种聚酰胺、特种PI膜、车身电泳漆、车身面漆、海洋装备长效防护高分子粉末涂料等，着力提升相关化工新材料的高强度、轻量化、耐用性、耐腐蚀性、抗撕裂性能、加工稳定性、光学性能等特殊性能。</w:t>
      </w:r>
    </w:p>
    <w:p w14:paraId="2BDF74A6">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楷体_GB2312" w:hAnsi="楷体_GB2312" w:eastAsia="楷体_GB2312" w:cs="楷体_GB2312"/>
          <w:b w:val="0"/>
          <w:bCs w:val="0"/>
          <w:i w:val="0"/>
          <w:iCs w:val="0"/>
          <w:caps w:val="0"/>
          <w:snapToGrid w:val="0"/>
          <w:color w:val="000000"/>
          <w:spacing w:val="7"/>
          <w:kern w:val="0"/>
          <w:sz w:val="32"/>
          <w:szCs w:val="32"/>
          <w:shd w:val="clear" w:fill="auto"/>
          <w:lang w:val="en-US" w:eastAsia="zh-CN" w:bidi="ar"/>
        </w:rPr>
      </w:pPr>
      <w:r>
        <w:rPr>
          <w:rFonts w:hint="eastAsia" w:ascii="楷体_GB2312" w:hAnsi="楷体_GB2312" w:eastAsia="楷体_GB2312" w:cs="楷体_GB2312"/>
          <w:b w:val="0"/>
          <w:bCs w:val="0"/>
          <w:i w:val="0"/>
          <w:iCs w:val="0"/>
          <w:caps w:val="0"/>
          <w:snapToGrid w:val="0"/>
          <w:color w:val="000000"/>
          <w:spacing w:val="7"/>
          <w:kern w:val="0"/>
          <w:sz w:val="32"/>
          <w:szCs w:val="32"/>
          <w:shd w:val="clear" w:fill="auto"/>
          <w:lang w:val="en-US" w:eastAsia="zh-CN" w:bidi="ar"/>
        </w:rPr>
        <w:t>（三）家电领域</w:t>
      </w:r>
    </w:p>
    <w:p w14:paraId="58C872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用于空调面板、空调底盘、家电换热器、洗碗机等方面的化工新材料，包括低VOC与低气味再生塑料、生物基特种聚酰胺、空调铝箔滑水涂层涂料、沿海家电专用超耐久防护粉末涂料等，着力提升相关化工新材料的涂层疏水性、耐候性、耐腐蚀性、力学性能等特殊性能。</w:t>
      </w:r>
    </w:p>
    <w:p w14:paraId="2014A129">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楷体_GB2312" w:hAnsi="楷体_GB2312" w:eastAsia="楷体_GB2312" w:cs="楷体_GB2312"/>
          <w:b w:val="0"/>
          <w:bCs w:val="0"/>
          <w:i w:val="0"/>
          <w:iCs w:val="0"/>
          <w:caps w:val="0"/>
          <w:snapToGrid w:val="0"/>
          <w:color w:val="000000"/>
          <w:spacing w:val="7"/>
          <w:kern w:val="0"/>
          <w:sz w:val="32"/>
          <w:szCs w:val="32"/>
          <w:shd w:val="clear" w:fill="auto"/>
          <w:lang w:val="en-US" w:eastAsia="zh-CN" w:bidi="ar"/>
        </w:rPr>
      </w:pPr>
      <w:r>
        <w:rPr>
          <w:rFonts w:hint="eastAsia" w:ascii="楷体_GB2312" w:hAnsi="楷体_GB2312" w:eastAsia="楷体_GB2312" w:cs="楷体_GB2312"/>
          <w:b w:val="0"/>
          <w:bCs w:val="0"/>
          <w:i w:val="0"/>
          <w:iCs w:val="0"/>
          <w:caps w:val="0"/>
          <w:snapToGrid w:val="0"/>
          <w:color w:val="000000"/>
          <w:spacing w:val="7"/>
          <w:kern w:val="0"/>
          <w:sz w:val="32"/>
          <w:szCs w:val="32"/>
          <w:shd w:val="clear" w:fill="auto"/>
          <w:lang w:val="en-US" w:eastAsia="zh-CN" w:bidi="ar"/>
        </w:rPr>
        <w:t>（四）纺织纤维领域</w:t>
      </w:r>
    </w:p>
    <w:p w14:paraId="2AB35B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用于服装面料纺织材料的化工新材料，包括PA66连续聚合纺丝级切片等，着力提升染色性能、纺丝性能、稳定性、耐热性等特殊性能。</w:t>
      </w:r>
    </w:p>
    <w:p w14:paraId="11A94C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snapToGrid/>
          <w:color w:val="auto"/>
          <w:spacing w:val="0"/>
          <w:kern w:val="44"/>
          <w:sz w:val="32"/>
          <w:szCs w:val="32"/>
          <w:shd w:val="clear" w:fill="FFFFFF"/>
          <w:lang w:val="en-US" w:eastAsia="zh-CN" w:bidi="ar"/>
        </w:rPr>
      </w:pPr>
      <w:r>
        <w:rPr>
          <w:rFonts w:hint="eastAsia" w:ascii="黑体" w:hAnsi="黑体" w:eastAsia="黑体" w:cs="黑体"/>
          <w:b w:val="0"/>
          <w:bCs w:val="0"/>
          <w:i w:val="0"/>
          <w:iCs w:val="0"/>
          <w:caps w:val="0"/>
          <w:snapToGrid/>
          <w:color w:val="auto"/>
          <w:spacing w:val="0"/>
          <w:kern w:val="44"/>
          <w:sz w:val="32"/>
          <w:szCs w:val="32"/>
          <w:shd w:val="clear" w:fill="FFFFFF"/>
          <w:lang w:val="en-US" w:eastAsia="zh-CN" w:bidi="ar"/>
        </w:rPr>
        <w:t>二、推荐条件</w:t>
      </w:r>
    </w:p>
    <w:p w14:paraId="2D8873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一）揭榜申报主体须是新材料生产企业和新材料应用企业组建的上下游联合体，鼓励高校、科研院所、检测机构等共同参与，牵头单位（产品责任单位）为1家，可以是新材料生产企业或新材料应用企业。榜单任务原则上于2027年年底前完成。　　</w:t>
      </w:r>
    </w:p>
    <w:p w14:paraId="4856560D">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（二）各地级以上市工业和信息化主管部门作为推荐单位，优先推荐技术指标先进、技术路线成熟、推广应用方案完备、经费预算合理、揭榜团队综合能力强的项目。</w:t>
      </w:r>
    </w:p>
    <w:p w14:paraId="535E7537">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（三）已获得过国家或省级财政资金支持的项目不得重复申报。</w:t>
      </w:r>
    </w:p>
    <w:p w14:paraId="576C321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黑体" w:hAnsi="黑体" w:eastAsia="黑体" w:cs="黑体"/>
          <w:b w:val="0"/>
          <w:bCs w:val="0"/>
          <w:i w:val="0"/>
          <w:iCs w:val="0"/>
          <w:caps w:val="0"/>
          <w:snapToGrid/>
          <w:color w:val="auto"/>
          <w:spacing w:val="0"/>
          <w:kern w:val="44"/>
          <w:sz w:val="32"/>
          <w:szCs w:val="32"/>
          <w:shd w:val="clear" w:fill="FFFFFF"/>
          <w:lang w:val="en-US" w:eastAsia="zh-CN" w:bidi="ar"/>
        </w:rPr>
        <w:t>　　三、工作要求</w:t>
      </w:r>
    </w:p>
    <w:p w14:paraId="53722B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一）申报主体填写《重点化工新材料创新任务揭榜挂帅单位申报材料》，一式三份加盖牵头单位公章及项目负责人签章后（电子版光盘1个），于2025年5月10日前报所在地市工信部门。申报主体对申报资料的真实性、合法性和可行性负责，须承诺揭榜后能够在指定期限内完成任务。</w:t>
      </w:r>
    </w:p>
    <w:p w14:paraId="29D2EC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二）请各地市工信部门高度重视重点化工新材料创新任务揭榜挂帅工作，充分调动重点企业、专精特新“小巨人”企业、单项冠军企业、高校及科研院所、相关产业联盟及行业协会的积极性，按照政府引导、企业自愿、公开公正的原则做好推荐工作，并结合区域产业优势，加大对“揭榜挂帅”重点品种、重点企业配套支持力度，优先配置入选“揭榜挂帅”的项目用地、用能、排污等指标资源，出台鼓励应用推广的配套政策。申报材料纸质版一式3份以及推荐汇总表1份（电子光盘1个），加盖地市工业和信息化主管部门公章后于5月20日前报省工业和信息化厅。</w:t>
      </w:r>
    </w:p>
    <w:p w14:paraId="16CAA3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（三）省工业和信息化厅组织遴选确定产品创新揭榜团队，原则上每个产品创新任务遴选一个揭榜团队承担创新任务。揭榜挂帅创新项目纳入现有政策支持渠道。</w:t>
      </w:r>
    </w:p>
    <w:p w14:paraId="3DEF39CE">
      <w:pPr>
        <w:spacing w:line="560" w:lineRule="exact"/>
        <w:jc w:val="both"/>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p>
    <w:p w14:paraId="4E01689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　　</w:t>
      </w:r>
    </w:p>
    <w:p w14:paraId="150322FB">
      <w:pPr>
        <w:spacing w:line="560" w:lineRule="exact"/>
        <w:jc w:val="both"/>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p>
    <w:p w14:paraId="7010AA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　　                       广东省工业和信息化厅</w:t>
      </w:r>
    </w:p>
    <w:p w14:paraId="3E88E6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t xml:space="preserve">                              2025年4月15日   </w:t>
      </w:r>
    </w:p>
    <w:p w14:paraId="4D6AB0B8">
      <w:pPr>
        <w:keepNext w:val="0"/>
        <w:keepLines w:val="0"/>
        <w:pageBreakBefore w:val="0"/>
        <w:widowControl/>
        <w:kinsoku w:val="0"/>
        <w:wordWrap/>
        <w:overflowPunct/>
        <w:topLinePunct w:val="0"/>
        <w:autoSpaceDE w:val="0"/>
        <w:autoSpaceDN w:val="0"/>
        <w:bidi w:val="0"/>
        <w:adjustRightInd w:val="0"/>
        <w:snapToGrid w:val="0"/>
        <w:spacing w:line="560" w:lineRule="exact"/>
        <w:ind w:firstLine="4480" w:firstLineChars="1400"/>
        <w:jc w:val="both"/>
        <w:textAlignment w:val="baseline"/>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p>
    <w:p w14:paraId="5413D2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snapToGrid/>
          <w:color w:val="auto"/>
          <w:spacing w:val="0"/>
          <w:kern w:val="44"/>
          <w:sz w:val="32"/>
          <w:szCs w:val="32"/>
          <w:shd w:val="clear" w:fill="FFFFFF"/>
          <w:lang w:val="en-US" w:eastAsia="zh-CN" w:bidi="ar"/>
        </w:rPr>
      </w:pPr>
      <w:bookmarkStart w:id="0" w:name="_GoBack"/>
      <w:bookmarkEnd w:id="0"/>
    </w:p>
    <w:sectPr>
      <w:headerReference r:id="rId5" w:type="default"/>
      <w:footerReference r:id="rId6" w:type="default"/>
      <w:pgSz w:w="11906" w:h="16838"/>
      <w:pgMar w:top="1814" w:right="1474" w:bottom="181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CF5">
    <w:pPr>
      <w:spacing w:line="180" w:lineRule="auto"/>
      <w:ind w:left="5"/>
      <w:rPr>
        <w:rFonts w:ascii="宋体" w:hAnsi="宋体" w:eastAsia="宋体" w:cs="宋体"/>
        <w:sz w:val="26"/>
        <w:szCs w:val="26"/>
      </w:rPr>
    </w:pPr>
    <w:r>
      <w:rPr>
        <w:rFonts w:ascii="宋体" w:hAnsi="宋体" w:eastAsia="宋体" w:cs="宋体"/>
        <w:spacing w:val="-1"/>
        <w:sz w:val="26"/>
        <w:szCs w:val="26"/>
      </w:rPr>
      <w:t>—</w:t>
    </w:r>
    <w:r>
      <w:rPr>
        <w:rFonts w:ascii="宋体" w:hAnsi="宋体" w:eastAsia="宋体" w:cs="宋体"/>
        <w:spacing w:val="13"/>
        <w:sz w:val="26"/>
        <w:szCs w:val="26"/>
      </w:rPr>
      <w:t xml:space="preserve"> </w:t>
    </w:r>
    <w:r>
      <w:rPr>
        <w:rFonts w:ascii="宋体" w:hAnsi="宋体" w:eastAsia="宋体" w:cs="宋体"/>
        <w:spacing w:val="-1"/>
        <w:sz w:val="26"/>
        <w:szCs w:val="26"/>
      </w:rPr>
      <w:t>4</w:t>
    </w:r>
    <w:r>
      <w:rPr>
        <w:rFonts w:ascii="宋体" w:hAnsi="宋体" w:eastAsia="宋体" w:cs="宋体"/>
        <w:spacing w:val="13"/>
        <w:sz w:val="26"/>
        <w:szCs w:val="26"/>
      </w:rPr>
      <w:t xml:space="preserve"> </w:t>
    </w:r>
    <w:r>
      <w:rPr>
        <w:rFonts w:ascii="宋体" w:hAnsi="宋体" w:eastAsia="宋体" w:cs="宋体"/>
        <w:spacing w:val="-1"/>
        <w:sz w:val="26"/>
        <w:szCs w:val="2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D36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A2CB7"/>
    <w:rsid w:val="033D53F1"/>
    <w:rsid w:val="16EA2CB7"/>
    <w:rsid w:val="2C5D6C27"/>
    <w:rsid w:val="5A2348F0"/>
    <w:rsid w:val="5DED8D7C"/>
    <w:rsid w:val="6A480307"/>
    <w:rsid w:val="BDFE0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FangSong_GB2312" w:hAnsi="FangSong_GB2312" w:eastAsia="FangSong_GB2312" w:cs="FangSong_GB2312"/>
      <w:sz w:val="30"/>
      <w:szCs w:val="30"/>
      <w:lang w:val="en-US" w:eastAsia="en-US" w:bidi="ar-SA"/>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1869</Words>
  <Characters>1945</Characters>
  <Lines>0</Lines>
  <Paragraphs>0</Paragraphs>
  <TotalTime>1</TotalTime>
  <ScaleCrop>false</ScaleCrop>
  <LinksUpToDate>false</LinksUpToDate>
  <CharactersWithSpaces>2034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2025-04-24T00:50:00Z</dcterms:created>
  <dc:creator>mmmmzql</dc:creator>
  <cp:lastModifiedBy>姬艳丽</cp:lastModifiedBy>
  <cp:lastPrinted>2025-04-24T06:22:00Z</cp:lastPrinted>
  <dcterms:modified xsi:type="dcterms:W3CDTF">2025-04-24T10:07:15Z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24E2471D4B3D4C56AD368D8729DD1C96_13</vt:lpwstr>
  </property>
  <property fmtid="{D5CDD505-2E9C-101B-9397-08002B2CF9AE}" pid="4" name="KSOTemplateDocerSaveRecord">
    <vt:lpwstr>eyJoZGlkIjoiYzhjOTg1YTM1NDNjZTllMjg3ZThiYjM3ZjVmNjg5ZTgiLCJ1c2VySWQiOiIxNDQzNjAzNzU3In0=</vt:lpwstr>
  </property>
</Properties>
</file>