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7519B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  件</w:t>
      </w:r>
      <w:bookmarkStart w:id="0" w:name="_GoBack"/>
      <w:bookmarkEnd w:id="0"/>
    </w:p>
    <w:p w14:paraId="7DB5146D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D9839E6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深圳市商务局202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年度中央资金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（2025年1-6月企业赴境外参展资助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事项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）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申报指南</w:t>
      </w:r>
    </w:p>
    <w:p w14:paraId="2B30DAA7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</w:p>
    <w:p w14:paraId="47D3F08D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一、支持领域</w:t>
      </w:r>
    </w:p>
    <w:p w14:paraId="68BF899D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为贯彻落实广东省和深圳市关于加强“五外联动”工作部署，支持我市“20+8”产业集群等重点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产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业在发达国家及“一带一路”沿线国家和地区等重点市场参加境外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展</w:t>
      </w:r>
      <w:r>
        <w:rPr>
          <w:rFonts w:hint="default" w:ascii="仿宋_GB2312" w:eastAsia="仿宋_GB2312"/>
          <w:color w:val="000000"/>
          <w:sz w:val="32"/>
          <w:szCs w:val="32"/>
          <w:highlight w:val="none"/>
          <w:lang w:eastAsia="zh-CN"/>
        </w:rPr>
        <w:t>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帮助企业</w:t>
      </w:r>
      <w:r>
        <w:rPr>
          <w:rFonts w:hint="eastAsia" w:ascii="仿宋_GB2312" w:eastAsia="仿宋_GB2312"/>
          <w:sz w:val="32"/>
          <w:szCs w:val="32"/>
          <w:highlight w:val="none"/>
        </w:rPr>
        <w:t>开拓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多元化</w:t>
      </w:r>
      <w:r>
        <w:rPr>
          <w:rFonts w:hint="eastAsia" w:ascii="仿宋_GB2312" w:eastAsia="仿宋_GB2312"/>
          <w:sz w:val="32"/>
          <w:szCs w:val="32"/>
          <w:highlight w:val="none"/>
        </w:rPr>
        <w:t>国际市场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，进一步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提升国际化经营能力，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增强国际竞争力。</w:t>
      </w:r>
    </w:p>
    <w:p w14:paraId="22209E92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二、设定依据</w:t>
      </w:r>
    </w:p>
    <w:p w14:paraId="1A8B1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（一）政策依据</w:t>
      </w:r>
    </w:p>
    <w:p w14:paraId="05DAB99F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1.商务部相关文件。</w:t>
      </w:r>
    </w:p>
    <w:p w14:paraId="0B778247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2.《财政部办公厅关于推动外贸稳规模优结构的意见》（国办发〔2023〕10号）。</w:t>
      </w:r>
    </w:p>
    <w:p w14:paraId="1083331B">
      <w:pPr>
        <w:pStyle w:val="5"/>
        <w:spacing w:line="560" w:lineRule="exact"/>
        <w:ind w:firstLine="640" w:firstLineChars="200"/>
        <w:jc w:val="left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3.《关于推动服务外包加快转型升级的指导意见》（商服贸发〔2020〕12号）。</w:t>
      </w:r>
    </w:p>
    <w:p w14:paraId="27E4B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（二）管理依据</w:t>
      </w:r>
    </w:p>
    <w:p w14:paraId="76E4C005">
      <w:pPr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1.《外经贸发展专项资金管理办法》（财建〔20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22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〕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号）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。</w:t>
      </w:r>
    </w:p>
    <w:p w14:paraId="67F90D3D">
      <w:pPr>
        <w:keepNext w:val="0"/>
        <w:keepLines w:val="0"/>
        <w:pageBreakBefore w:val="0"/>
        <w:tabs>
          <w:tab w:val="left" w:pos="562"/>
          <w:tab w:val="left" w:pos="3372"/>
          <w:tab w:val="left" w:pos="3653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0"/>
        <w:jc w:val="left"/>
        <w:textAlignment w:val="auto"/>
        <w:rPr>
          <w:rFonts w:hint="eastAsia" w:ascii="仿宋_GB2312" w:hAnsi="Times New Roman" w:eastAsia="楷体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《深圳市商务发展专项资金管理办法》（深商务规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〔20</w:t>
      </w:r>
      <w:r>
        <w:rPr>
          <w:rFonts w:ascii="仿宋_GB2312" w:hAnsi="Times New Roman" w:eastAsia="仿宋_GB2312" w:cs="Times New Roman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〕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号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）。</w:t>
      </w:r>
    </w:p>
    <w:p w14:paraId="02D88E30">
      <w:pPr>
        <w:spacing w:line="560" w:lineRule="exact"/>
        <w:ind w:firstLine="630"/>
        <w:jc w:val="left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三、支持数量和支持方式</w:t>
      </w:r>
    </w:p>
    <w:p w14:paraId="11443407">
      <w:pPr>
        <w:widowControl/>
        <w:shd w:val="clear" w:color="auto" w:fill="FFFFFF"/>
        <w:spacing w:line="560" w:lineRule="exact"/>
        <w:ind w:firstLine="645"/>
        <w:jc w:val="left"/>
        <w:rPr>
          <w:rFonts w:ascii="楷体_GB2312" w:hAnsi="楷体_GB2312" w:eastAsia="楷体_GB2312" w:cs="楷体_GB2312"/>
          <w:bCs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  <w:t>（一）支持数量</w:t>
      </w:r>
    </w:p>
    <w:p w14:paraId="60C11E22">
      <w:pPr>
        <w:keepNext w:val="0"/>
        <w:keepLines w:val="0"/>
        <w:pageBreakBefore w:val="0"/>
        <w:widowControl/>
        <w:shd w:val="clear" w:color="auto" w:fill="FFFFFF"/>
        <w:kinsoku/>
        <w:topLinePunct w:val="0"/>
        <w:autoSpaceDE/>
        <w:autoSpaceDN/>
        <w:bidi w:val="0"/>
        <w:spacing w:line="560" w:lineRule="exact"/>
        <w:ind w:firstLine="645" w:firstLineChars="0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有预算限制，受财政部、商务部下达年度资金预算控制</w:t>
      </w:r>
      <w:r>
        <w:rPr>
          <w:rFonts w:hint="default" w:ascii="仿宋_GB2312" w:hAns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仿宋_GB2312" w:eastAsia="仿宋_GB2312"/>
          <w:sz w:val="32"/>
          <w:szCs w:val="32"/>
          <w:highlight w:val="none"/>
          <w:lang w:bidi="ar"/>
        </w:rPr>
        <w:t>视申报情况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 w:bidi="ar"/>
        </w:rPr>
        <w:t>及执行情况</w:t>
      </w:r>
      <w:r>
        <w:rPr>
          <w:rFonts w:hint="default" w:ascii="仿宋_GB2312" w:hAnsi="仿宋_GB2312" w:eastAsia="仿宋_GB2312"/>
          <w:sz w:val="32"/>
          <w:szCs w:val="32"/>
          <w:highlight w:val="none"/>
          <w:lang w:bidi="ar"/>
        </w:rPr>
        <w:t>，市商务局据以对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 w:bidi="ar"/>
        </w:rPr>
        <w:t>支持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 w:bidi="ar"/>
        </w:rPr>
        <w:t>比例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 w:bidi="ar"/>
        </w:rPr>
        <w:t>和资助金额</w:t>
      </w:r>
      <w:r>
        <w:rPr>
          <w:rFonts w:hint="default" w:ascii="仿宋_GB2312" w:hAnsi="仿宋_GB2312" w:eastAsia="仿宋_GB2312"/>
          <w:sz w:val="32"/>
          <w:szCs w:val="32"/>
          <w:highlight w:val="none"/>
          <w:lang w:bidi="ar"/>
        </w:rPr>
        <w:t>进行调整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</w:rPr>
        <w:t>申报单位应无条件同意调整结果。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资助金额以万元为单位按舍尾法取整，且原则上不低于5万元，不大于实际发生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或投入金额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。</w:t>
      </w:r>
    </w:p>
    <w:p w14:paraId="1CEE313B"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45"/>
        <w:jc w:val="left"/>
        <w:rPr>
          <w:rFonts w:ascii="楷体_GB2312" w:hAnsi="楷体_GB2312" w:eastAsia="楷体_GB2312" w:cs="楷体_GB2312"/>
          <w:bCs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highlight w:val="none"/>
        </w:rPr>
        <w:t>支持方式</w:t>
      </w:r>
    </w:p>
    <w:p w14:paraId="24405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事后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资助。</w:t>
      </w:r>
    </w:p>
    <w:p w14:paraId="4D5A96DD">
      <w:pPr>
        <w:spacing w:line="560" w:lineRule="exact"/>
        <w:ind w:firstLine="640"/>
        <w:jc w:val="left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四、申报条件</w:t>
      </w:r>
    </w:p>
    <w:p w14:paraId="58AAF4C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（一）基本条件</w:t>
      </w:r>
    </w:p>
    <w:p w14:paraId="57F76634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1.申报单位为在深圳市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（含深汕特别合作区）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实际从事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经营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活动的企业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。</w:t>
      </w:r>
    </w:p>
    <w:p w14:paraId="07D7FFA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申报单位未被国家、省、市有关部门列入严重失信主体名单实施失信惩戒，明确限制申请财政性资金项目，且在限制期内。</w:t>
      </w:r>
    </w:p>
    <w:p w14:paraId="5FF07563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3.申报单位近三年（2023年-2025年）不存在严重违法违规行为，未拖欠应缴还的财政性资金。</w:t>
      </w:r>
    </w:p>
    <w:p w14:paraId="4E6505B2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4.申报单位应承担资金真实申报、合规使用和有效管理；应对申报材料的真实性、合法性、完整性负责，应如实提供本单位信用状况，承担违约责任并作出承诺，不得弄虚作假、套取、骗取财政资金。</w:t>
      </w:r>
    </w:p>
    <w:p w14:paraId="0536B569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40" w:firstLineChars="0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单位不存在以同一项目或同一费用重复或多头申报的情形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61DC4DA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（二）</w:t>
      </w:r>
      <w:r>
        <w:rPr>
          <w:rFonts w:ascii="楷体_GB2312" w:hAnsi="楷体_GB2312" w:eastAsia="楷体_GB2312" w:cs="楷体_GB2312"/>
          <w:color w:val="000000"/>
          <w:sz w:val="32"/>
          <w:szCs w:val="32"/>
          <w:highlight w:val="none"/>
        </w:rPr>
        <w:t>专项条件</w:t>
      </w:r>
    </w:p>
    <w:p w14:paraId="2EB5816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/>
          <w:color w:val="000000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申报项目已被列入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2025年境外</w:t>
      </w: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eastAsia="zh-CN"/>
        </w:rPr>
        <w:t>展会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支持清单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月1日至202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日期间完成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参展。</w:t>
      </w:r>
    </w:p>
    <w:p w14:paraId="31797192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申报单位须符合以下条件的其中一项：</w:t>
      </w:r>
    </w:p>
    <w:p w14:paraId="6074BC32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年度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出口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额在6500万美元（含）以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上的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外贸企业。</w:t>
      </w:r>
    </w:p>
    <w:p w14:paraId="5C2BF1B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2024年度在商务部网站的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服务外包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统计监测管理业务应用系统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中离岸执行额在5000万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美元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（含）以上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或全口径执行金额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8000万美元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（含）以上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服务外包企业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</w:rPr>
        <w:t>。</w:t>
      </w:r>
    </w:p>
    <w:p w14:paraId="22BD45E3">
      <w:pPr>
        <w:widowControl/>
        <w:shd w:val="clear" w:color="auto" w:fill="FFFFFF"/>
        <w:spacing w:line="560" w:lineRule="exact"/>
        <w:ind w:right="-82" w:rightChars="-39" w:firstLine="640" w:firstLineChars="200"/>
        <w:jc w:val="left"/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3.申报单位须定期按要求向商务主管部门报送统计数据和参展情况。</w:t>
      </w:r>
    </w:p>
    <w:p w14:paraId="40E6C478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五、支持内容和支持标准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ab/>
      </w:r>
    </w:p>
    <w:p w14:paraId="7FFF769B">
      <w:pPr>
        <w:spacing w:line="560" w:lineRule="exact"/>
        <w:ind w:firstLine="630"/>
        <w:jc w:val="left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楷体_GB2312" w:hAnsi="华文楷体" w:eastAsia="楷体_GB2312"/>
          <w:color w:val="000000"/>
          <w:sz w:val="32"/>
          <w:szCs w:val="32"/>
          <w:highlight w:val="none"/>
        </w:rPr>
        <w:t>（一）支持内容</w:t>
      </w:r>
    </w:p>
    <w:p w14:paraId="0E184E75">
      <w:pPr>
        <w:spacing w:line="560" w:lineRule="exact"/>
        <w:ind w:firstLine="630"/>
        <w:jc w:val="left"/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开拓国际市场，对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参加境外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展会的企业按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发生的展位费给予资助。</w:t>
      </w:r>
    </w:p>
    <w:p w14:paraId="78D029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华文楷体" w:eastAsia="楷体_GB2312"/>
          <w:color w:val="000000"/>
          <w:sz w:val="32"/>
          <w:szCs w:val="32"/>
          <w:highlight w:val="none"/>
        </w:rPr>
        <w:t>（二）支持标准</w:t>
      </w:r>
    </w:p>
    <w:p w14:paraId="4BB8B707">
      <w:pPr>
        <w:spacing w:line="560" w:lineRule="exact"/>
        <w:ind w:firstLine="63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1.对于符合条件的企业，按照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实际发生的展位费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（含开口费）给予不超过50%的资助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。每家参展企业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最多支持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3场清单内的展会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资助金额不低于5万元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不高于6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C1D9060">
      <w:pPr>
        <w:spacing w:line="560" w:lineRule="exact"/>
        <w:ind w:firstLine="630"/>
        <w:jc w:val="left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对于审计后资助金额低于5万元的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，将不予资助。</w:t>
      </w:r>
    </w:p>
    <w:p w14:paraId="01C3133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2.以外币支付相关费用的，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中国人民银行公布的202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年6月30日人民币汇率中间价为依据，折算为人民币。</w:t>
      </w:r>
    </w:p>
    <w:p w14:paraId="70CF97ED"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六、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受理时间</w:t>
      </w:r>
    </w:p>
    <w:p w14:paraId="41AF035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1.网络填报时间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日18:00。</w:t>
      </w:r>
    </w:p>
    <w:p w14:paraId="40C483D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right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2.材料提交时间: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日—202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18:00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。</w:t>
      </w:r>
    </w:p>
    <w:p w14:paraId="75BCBBF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申报单位在上述规定时间内在线填报、提交材料，逾期不予受理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（注意事项：网络填报时间截止后系统将不再受理新申请，故请预留充足时间进行修改）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 w14:paraId="576AD6A6">
      <w:pPr>
        <w:numPr>
          <w:ilvl w:val="0"/>
          <w:numId w:val="0"/>
        </w:numPr>
        <w:spacing w:line="560" w:lineRule="exact"/>
        <w:ind w:firstLine="48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受理地点</w:t>
      </w:r>
    </w:p>
    <w:p w14:paraId="6CA2FE9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深圳市福田区福中三路市民中心B区市</w:t>
      </w:r>
      <w:r>
        <w:rPr>
          <w:rFonts w:hint="default" w:ascii="仿宋_GB2312" w:hAnsi="仿宋_GB2312" w:eastAsia="仿宋_GB2312" w:cs="仿宋_GB2312"/>
          <w:sz w:val="32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西厅综合窗口。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（注：为提交工作效率，到深圳市政务服务中心提交材料需提前预约。预约指南：“i深圳”APP，操作流程：【办事预约】—【深圳市】—【深圳市政务服务中心-西厅】—【在线预约】请按照预约时段，错峰提交材料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）</w:t>
      </w:r>
    </w:p>
    <w:p w14:paraId="3A3397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814" w:right="1474" w:bottom="181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3AE75E-3922-4C95-932B-831396AA15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808C59E-7B51-4801-857F-963688B196F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A1A8EF0-ED11-452E-821B-01B9B18B047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347671A-79BE-4819-B690-7837C8A61E0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6F37972-1221-4A07-B342-6C63A22226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5D4B3">
    <w:pPr>
      <w:pStyle w:val="10"/>
      <w:ind w:left="210" w:leftChars="100" w:right="210" w:rightChars="100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47C41">
                          <w:pPr>
                            <w:pStyle w:val="10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447C41">
                    <w:pPr>
                      <w:pStyle w:val="10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7737E6F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9F1CF8"/>
    <w:rsid w:val="02BA28D2"/>
    <w:rsid w:val="058C0E99"/>
    <w:rsid w:val="05C445D9"/>
    <w:rsid w:val="0699546A"/>
    <w:rsid w:val="07C21B75"/>
    <w:rsid w:val="094D5292"/>
    <w:rsid w:val="099C59CB"/>
    <w:rsid w:val="19FBE5D7"/>
    <w:rsid w:val="1BDF7A97"/>
    <w:rsid w:val="20B006C4"/>
    <w:rsid w:val="21EC52D7"/>
    <w:rsid w:val="24DA68B6"/>
    <w:rsid w:val="290D81CD"/>
    <w:rsid w:val="296656BC"/>
    <w:rsid w:val="2A754800"/>
    <w:rsid w:val="2D457575"/>
    <w:rsid w:val="2D88240F"/>
    <w:rsid w:val="349E0546"/>
    <w:rsid w:val="355E3E07"/>
    <w:rsid w:val="3B392F9B"/>
    <w:rsid w:val="498228CF"/>
    <w:rsid w:val="542815A5"/>
    <w:rsid w:val="552970B4"/>
    <w:rsid w:val="553D7E00"/>
    <w:rsid w:val="5B2630E4"/>
    <w:rsid w:val="5CFFA79B"/>
    <w:rsid w:val="63903465"/>
    <w:rsid w:val="639E0562"/>
    <w:rsid w:val="65CC4888"/>
    <w:rsid w:val="6A3428FC"/>
    <w:rsid w:val="70FC24C5"/>
    <w:rsid w:val="7677D17D"/>
    <w:rsid w:val="77EF956E"/>
    <w:rsid w:val="7A052DF2"/>
    <w:rsid w:val="7B2151BD"/>
    <w:rsid w:val="7B4A0A73"/>
    <w:rsid w:val="7B7F0B90"/>
    <w:rsid w:val="7B9F6161"/>
    <w:rsid w:val="7C856211"/>
    <w:rsid w:val="7D920A88"/>
    <w:rsid w:val="7EEFE686"/>
    <w:rsid w:val="7FF2C686"/>
    <w:rsid w:val="7FFB3DA2"/>
    <w:rsid w:val="7FFE9168"/>
    <w:rsid w:val="9F1B3792"/>
    <w:rsid w:val="B95BE4FB"/>
    <w:rsid w:val="E99B7246"/>
    <w:rsid w:val="F63D5BAF"/>
    <w:rsid w:val="F96F5E08"/>
    <w:rsid w:val="F99F1CF8"/>
    <w:rsid w:val="F9E3E39B"/>
    <w:rsid w:val="FBFAF023"/>
    <w:rsid w:val="FEFE7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</w:style>
  <w:style w:type="paragraph" w:styleId="6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Plain Text"/>
    <w:basedOn w:val="8"/>
    <w:qFormat/>
    <w:uiPriority w:val="0"/>
    <w:rPr>
      <w:rFonts w:ascii="等线" w:hAnsi="Courier New" w:cs="Courier New"/>
    </w:rPr>
  </w:style>
  <w:style w:type="paragraph" w:customStyle="1" w:styleId="8">
    <w:name w:val="正文_0"/>
    <w:next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Date"/>
    <w:basedOn w:val="1"/>
    <w:next w:val="1"/>
    <w:qFormat/>
    <w:uiPriority w:val="0"/>
    <w:rPr>
      <w:rFonts w:ascii="Times New Roman" w:hAnsi="Times New Roman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Body Text First Indent"/>
    <w:basedOn w:val="5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otnote reference"/>
    <w:basedOn w:val="16"/>
    <w:qFormat/>
    <w:uiPriority w:val="0"/>
    <w:rPr>
      <w:vertAlign w:val="superscript"/>
    </w:rPr>
  </w:style>
  <w:style w:type="paragraph" w:customStyle="1" w:styleId="18">
    <w:name w:val="正文首行缩进 21"/>
    <w:basedOn w:val="6"/>
    <w:qFormat/>
    <w:uiPriority w:val="0"/>
    <w:pPr>
      <w:spacing w:before="100" w:beforeAutospacing="1" w:after="0" w:line="380" w:lineRule="exact"/>
      <w:ind w:left="0" w:leftChars="0" w:firstLine="420" w:firstLineChars="200"/>
    </w:pPr>
    <w:rPr>
      <w:rFonts w:ascii="宋体" w:hAnsi="宋体"/>
      <w:spacing w:val="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1024</Characters>
  <Lines>0</Lines>
  <Paragraphs>0</Paragraphs>
  <TotalTime>16</TotalTime>
  <ScaleCrop>false</ScaleCrop>
  <LinksUpToDate>false</LinksUpToDate>
  <CharactersWithSpaces>1027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2025-01-11T22:47:00Z</dcterms:created>
  <dc:creator>叶花</dc:creator>
  <cp:lastModifiedBy>姬艳丽</cp:lastModifiedBy>
  <dcterms:modified xsi:type="dcterms:W3CDTF">2025-07-02T10:35:07Z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9AB9F2E8D21D4D1187CFFD617A5C58CB_13</vt:lpwstr>
  </property>
  <property fmtid="{D5CDD505-2E9C-101B-9397-08002B2CF9AE}" pid="4" name="KSOTemplateDocerSaveRecord">
    <vt:lpwstr>eyJoZGlkIjoiYzhjOTg1YTM1NDNjZTllMjg3ZThiYjM3ZjVmNjg5ZTgiLCJ1c2VySWQiOiIxNDQzNjAzNzU3In0=</vt:lpwstr>
  </property>
</Properties>
</file>