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589F"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075FBBF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 w14:paraId="0B66996E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79A17C3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所称“Ⅰ类知识产权”包括发明专利（含国防专利）、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植物新品种、国家级农作物品种、国家新药、国家一级中药保护品种、集成电路布图设计专有权（均不包含转让未满1年的知识产权）。</w:t>
      </w:r>
    </w:p>
    <w:p w14:paraId="4FE869A9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所称“Ⅰ类高价值知识产权”须符合以下条件之一：</w:t>
      </w:r>
    </w:p>
    <w:p w14:paraId="78571624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1.在海外有同族专利权的发明专利或在海外取得收入的其他Ⅰ类知识产权，其中专利限G20成员、新加坡以及欧洲专利局经实质审查后获得授权的发明专利。</w:t>
      </w:r>
    </w:p>
    <w:p w14:paraId="1FBE1BEC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2.维持年限超过10年的Ⅰ类知识产权。</w:t>
      </w:r>
    </w:p>
    <w:p w14:paraId="2D810D99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3.实现较高质押融资金额的Ⅰ类知识产权。</w:t>
      </w:r>
    </w:p>
    <w:p w14:paraId="3492C97C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4.获得国家科学技术奖或中国专利奖的Ⅰ类知识产权。</w:t>
      </w:r>
    </w:p>
    <w:p w14:paraId="73CC9F2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2BDE6BB1"/>
    <w:rsid w:val="32B36390"/>
    <w:rsid w:val="66D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332</Characters>
  <Lines>0</Lines>
  <Paragraphs>0</Paragraphs>
  <TotalTime>2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2022-09-12T04:05:00Z</dcterms:created>
  <dc:creator>Daisy</dc:creator>
  <cp:lastModifiedBy>姬艳丽</cp:lastModifiedBy>
  <dcterms:modified xsi:type="dcterms:W3CDTF">2025-10-14T09:11:07Z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007802BA061548299CDBB68E439A11DD_13</vt:lpwstr>
  </property>
</Properties>
</file>